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BE9" w:rsidRDefault="00083BE9" w:rsidP="009766F5">
      <w:pPr>
        <w:spacing w:line="360" w:lineRule="auto"/>
        <w:jc w:val="center"/>
        <w:rPr>
          <w:rFonts w:ascii="Bookman Old Style" w:hAnsi="Bookman Old Style" w:cs="Times New Roman"/>
          <w:i/>
          <w:sz w:val="28"/>
          <w:szCs w:val="28"/>
        </w:rPr>
      </w:pPr>
      <w:r w:rsidRPr="0018236D">
        <w:rPr>
          <w:rFonts w:ascii="Bookman Old Style" w:hAnsi="Bookman Old Style" w:cs="Times New Roman"/>
          <w:i/>
          <w:sz w:val="28"/>
          <w:szCs w:val="28"/>
        </w:rPr>
        <w:t>Komar y la diseminación del marxismo como relativismo</w:t>
      </w:r>
    </w:p>
    <w:p w:rsidR="0018236D" w:rsidRPr="0018236D" w:rsidRDefault="0018236D" w:rsidP="009766F5">
      <w:pPr>
        <w:spacing w:line="360" w:lineRule="auto"/>
        <w:jc w:val="center"/>
        <w:rPr>
          <w:rFonts w:ascii="Bookman Old Style" w:hAnsi="Bookman Old Style" w:cs="Times New Roman"/>
          <w:i/>
          <w:sz w:val="28"/>
          <w:szCs w:val="28"/>
        </w:rPr>
      </w:pPr>
    </w:p>
    <w:p w:rsidR="0018236D" w:rsidRDefault="0018236D" w:rsidP="0018236D">
      <w:pPr>
        <w:spacing w:after="0" w:line="240" w:lineRule="auto"/>
        <w:jc w:val="right"/>
        <w:rPr>
          <w:rFonts w:ascii="Bookman Old Style" w:hAnsi="Bookman Old Style" w:cs="Times New Roman"/>
          <w:sz w:val="20"/>
          <w:szCs w:val="20"/>
        </w:rPr>
      </w:pPr>
    </w:p>
    <w:p w:rsidR="0018236D" w:rsidRDefault="0018236D" w:rsidP="0018236D">
      <w:pPr>
        <w:spacing w:after="0" w:line="240" w:lineRule="auto"/>
        <w:jc w:val="right"/>
        <w:rPr>
          <w:rFonts w:ascii="Bookman Old Style" w:hAnsi="Bookman Old Style" w:cs="Times New Roman"/>
          <w:sz w:val="20"/>
          <w:szCs w:val="20"/>
        </w:rPr>
      </w:pPr>
    </w:p>
    <w:p w:rsidR="0018236D" w:rsidRPr="0018236D" w:rsidRDefault="00A46F80" w:rsidP="0018236D">
      <w:pPr>
        <w:spacing w:after="0" w:line="240" w:lineRule="auto"/>
        <w:jc w:val="right"/>
        <w:rPr>
          <w:rFonts w:ascii="Bookman Old Style" w:hAnsi="Bookman Old Style" w:cs="Times New Roman"/>
        </w:rPr>
      </w:pPr>
      <w:r w:rsidRPr="0018236D">
        <w:rPr>
          <w:rFonts w:ascii="Bookman Old Style" w:hAnsi="Bookman Old Style" w:cs="Times New Roman"/>
        </w:rPr>
        <w:t>“</w:t>
      </w:r>
      <w:r w:rsidR="00E90902" w:rsidRPr="0018236D">
        <w:rPr>
          <w:rFonts w:ascii="Bookman Old Style" w:hAnsi="Bookman Old Style" w:cs="Times New Roman"/>
        </w:rPr>
        <w:t>El proceso del marxismo a la sociedad tecnológica</w:t>
      </w:r>
      <w:r w:rsidR="00E455EF" w:rsidRPr="0018236D">
        <w:rPr>
          <w:rFonts w:ascii="Bookman Old Style" w:hAnsi="Bookman Old Style" w:cs="Times New Roman"/>
        </w:rPr>
        <w:t xml:space="preserve"> </w:t>
      </w:r>
    </w:p>
    <w:p w:rsidR="00083BE9" w:rsidRPr="0018236D" w:rsidRDefault="00E90902" w:rsidP="0018236D">
      <w:pPr>
        <w:spacing w:after="0" w:line="240" w:lineRule="auto"/>
        <w:jc w:val="right"/>
        <w:rPr>
          <w:rFonts w:ascii="Bookman Old Style" w:hAnsi="Bookman Old Style" w:cs="Times New Roman"/>
        </w:rPr>
      </w:pPr>
      <w:r w:rsidRPr="0018236D">
        <w:rPr>
          <w:rFonts w:ascii="Bookman Old Style" w:hAnsi="Bookman Old Style" w:cs="Times New Roman"/>
        </w:rPr>
        <w:t>es el proceso del ateísmo a la pérdida de lo sagrado”</w:t>
      </w:r>
      <w:r w:rsidR="00E455EF" w:rsidRPr="0018236D">
        <w:rPr>
          <w:rFonts w:ascii="Bookman Old Style" w:hAnsi="Bookman Old Style" w:cs="Times New Roman"/>
          <w:vertAlign w:val="superscript"/>
        </w:rPr>
        <w:t xml:space="preserve"> </w:t>
      </w:r>
      <w:r w:rsidR="00E455EF" w:rsidRPr="0018236D">
        <w:rPr>
          <w:rFonts w:ascii="Bookman Old Style" w:hAnsi="Bookman Old Style" w:cs="Times New Roman"/>
          <w:vertAlign w:val="superscript"/>
        </w:rPr>
        <w:footnoteReference w:id="1"/>
      </w:r>
      <w:r w:rsidR="00E455EF" w:rsidRPr="0018236D">
        <w:rPr>
          <w:rFonts w:ascii="Bookman Old Style" w:hAnsi="Bookman Old Style" w:cs="Times New Roman"/>
        </w:rPr>
        <w:t xml:space="preserve"> </w:t>
      </w:r>
    </w:p>
    <w:p w:rsidR="0018236D" w:rsidRDefault="0018236D" w:rsidP="009766F5">
      <w:pPr>
        <w:spacing w:line="360" w:lineRule="auto"/>
        <w:jc w:val="both"/>
        <w:rPr>
          <w:rFonts w:ascii="Bookman Old Style" w:hAnsi="Bookman Old Style" w:cs="Times New Roman"/>
          <w:sz w:val="24"/>
          <w:szCs w:val="24"/>
        </w:rPr>
      </w:pPr>
      <w:bookmarkStart w:id="0" w:name="_GoBack"/>
      <w:bookmarkEnd w:id="0"/>
    </w:p>
    <w:p w:rsidR="009A2817" w:rsidRPr="0018236D" w:rsidRDefault="00083BE9" w:rsidP="009766F5">
      <w:pPr>
        <w:spacing w:line="360" w:lineRule="auto"/>
        <w:jc w:val="both"/>
        <w:rPr>
          <w:rFonts w:ascii="Bookman Old Style" w:hAnsi="Bookman Old Style" w:cs="Times New Roman"/>
          <w:sz w:val="24"/>
          <w:szCs w:val="24"/>
        </w:rPr>
      </w:pPr>
      <w:r w:rsidRPr="0018236D">
        <w:rPr>
          <w:rFonts w:ascii="Bookman Old Style" w:hAnsi="Bookman Old Style" w:cs="Times New Roman"/>
          <w:sz w:val="24"/>
          <w:szCs w:val="24"/>
        </w:rPr>
        <w:t>Nos preguntamos qué se puede agregar a la ya amplia bibliografía sobre la sociedad opulenta. Del Noce</w:t>
      </w:r>
      <w:r w:rsidRPr="0018236D">
        <w:rPr>
          <w:rStyle w:val="Refdenotaalpie"/>
          <w:rFonts w:ascii="Bookman Old Style" w:hAnsi="Bookman Old Style" w:cs="Times New Roman"/>
          <w:sz w:val="24"/>
          <w:szCs w:val="24"/>
        </w:rPr>
        <w:footnoteReference w:id="2"/>
      </w:r>
      <w:r w:rsidR="00612382" w:rsidRPr="0018236D">
        <w:rPr>
          <w:rFonts w:ascii="Bookman Old Style" w:hAnsi="Bookman Old Style" w:cs="Times New Roman"/>
          <w:sz w:val="24"/>
          <w:szCs w:val="24"/>
        </w:rPr>
        <w:t xml:space="preserve"> </w:t>
      </w:r>
      <w:r w:rsidRPr="0018236D">
        <w:rPr>
          <w:rFonts w:ascii="Bookman Old Style" w:hAnsi="Bookman Old Style" w:cs="Times New Roman"/>
          <w:sz w:val="24"/>
          <w:szCs w:val="24"/>
        </w:rPr>
        <w:t xml:space="preserve">en la década del ’70 mencionaba las distintas denominaciones que </w:t>
      </w:r>
      <w:r w:rsidR="002F3CD9" w:rsidRPr="0018236D">
        <w:rPr>
          <w:rFonts w:ascii="Bookman Old Style" w:hAnsi="Bookman Old Style" w:cs="Times New Roman"/>
          <w:sz w:val="24"/>
          <w:szCs w:val="24"/>
        </w:rPr>
        <w:t xml:space="preserve">ella </w:t>
      </w:r>
      <w:r w:rsidRPr="0018236D">
        <w:rPr>
          <w:rFonts w:ascii="Bookman Old Style" w:hAnsi="Bookman Old Style" w:cs="Times New Roman"/>
          <w:sz w:val="24"/>
          <w:szCs w:val="24"/>
        </w:rPr>
        <w:t>había recibido en los quince años posteriores a la Segunda Guerra</w:t>
      </w:r>
      <w:r w:rsidR="00CF7A75" w:rsidRPr="0018236D">
        <w:rPr>
          <w:rStyle w:val="Refdenotaalpie"/>
          <w:rFonts w:ascii="Bookman Old Style" w:hAnsi="Bookman Old Style" w:cs="Times New Roman"/>
          <w:sz w:val="24"/>
          <w:szCs w:val="24"/>
        </w:rPr>
        <w:footnoteReference w:id="3"/>
      </w:r>
      <w:r w:rsidR="00CF7A75" w:rsidRPr="0018236D">
        <w:rPr>
          <w:rFonts w:ascii="Bookman Old Style" w:hAnsi="Bookman Old Style" w:cs="Times New Roman"/>
          <w:sz w:val="24"/>
          <w:szCs w:val="24"/>
        </w:rPr>
        <w:t xml:space="preserve">. </w:t>
      </w:r>
      <w:r w:rsidRPr="0018236D">
        <w:rPr>
          <w:rFonts w:ascii="Bookman Old Style" w:hAnsi="Bookman Old Style" w:cs="Times New Roman"/>
          <w:sz w:val="24"/>
          <w:szCs w:val="24"/>
        </w:rPr>
        <w:t>Agregaba que la literatura desde aquel momento se había “hecho repetitiva hasta la obsesión”</w:t>
      </w:r>
      <w:r w:rsidR="00893F93" w:rsidRPr="0018236D">
        <w:rPr>
          <w:rStyle w:val="Refdenotaalpie"/>
          <w:rFonts w:ascii="Bookman Old Style" w:hAnsi="Bookman Old Style" w:cs="Times New Roman"/>
          <w:sz w:val="24"/>
          <w:szCs w:val="24"/>
        </w:rPr>
        <w:footnoteReference w:id="4"/>
      </w:r>
      <w:r w:rsidRPr="0018236D">
        <w:rPr>
          <w:rFonts w:ascii="Bookman Old Style" w:hAnsi="Bookman Old Style" w:cs="Times New Roman"/>
          <w:sz w:val="24"/>
          <w:szCs w:val="24"/>
        </w:rPr>
        <w:t>. Para él e</w:t>
      </w:r>
      <w:r w:rsidR="00612382" w:rsidRPr="0018236D">
        <w:rPr>
          <w:rFonts w:ascii="Bookman Old Style" w:hAnsi="Bookman Old Style" w:cs="Times New Roman"/>
          <w:sz w:val="24"/>
          <w:szCs w:val="24"/>
        </w:rPr>
        <w:t>ra suficiente caracterización</w:t>
      </w:r>
      <w:r w:rsidRPr="0018236D">
        <w:rPr>
          <w:rFonts w:ascii="Bookman Old Style" w:hAnsi="Bookman Old Style" w:cs="Times New Roman"/>
          <w:sz w:val="24"/>
          <w:szCs w:val="24"/>
        </w:rPr>
        <w:t xml:space="preserve"> decir que se daba en ella la absolutización totalitaria del momento económico, coincidente con la mayor </w:t>
      </w:r>
      <w:r w:rsidRPr="0018236D">
        <w:rPr>
          <w:rFonts w:ascii="Bookman Old Style" w:hAnsi="Bookman Old Style" w:cs="Times New Roman"/>
          <w:i/>
          <w:sz w:val="24"/>
          <w:szCs w:val="24"/>
        </w:rPr>
        <w:t>Ideallösigkeit</w:t>
      </w:r>
      <w:r w:rsidRPr="0018236D">
        <w:rPr>
          <w:rFonts w:ascii="Bookman Old Style" w:hAnsi="Bookman Old Style" w:cs="Times New Roman"/>
          <w:sz w:val="24"/>
          <w:szCs w:val="24"/>
        </w:rPr>
        <w:t>.</w:t>
      </w:r>
    </w:p>
    <w:p w:rsidR="001563C4" w:rsidRPr="0018236D" w:rsidRDefault="00083BE9" w:rsidP="009766F5">
      <w:pPr>
        <w:spacing w:line="360" w:lineRule="auto"/>
        <w:jc w:val="both"/>
        <w:rPr>
          <w:rFonts w:ascii="Bookman Old Style" w:hAnsi="Bookman Old Style" w:cs="Times New Roman"/>
          <w:sz w:val="24"/>
          <w:szCs w:val="24"/>
        </w:rPr>
      </w:pPr>
      <w:r w:rsidRPr="0018236D">
        <w:rPr>
          <w:rFonts w:ascii="Bookman Old Style" w:hAnsi="Bookman Old Style" w:cs="Times New Roman"/>
          <w:sz w:val="24"/>
          <w:szCs w:val="24"/>
        </w:rPr>
        <w:t>Como en otras cuestiones importantes de Historia de la Filosofía moderna y contemporánea Komar se inspiró en del Noce. El texto que da ocasión a estas Jornadas lo trasunta en muchas páginas. Junto con del Noce, Komar comentó la próxima caída del marxismo que obedecía a motivos filosóficos tal como la “heterogénesis de los fines”. El marxismo fue un epis</w:t>
      </w:r>
      <w:r w:rsidR="00AC3D8C" w:rsidRPr="0018236D">
        <w:rPr>
          <w:rFonts w:ascii="Bookman Old Style" w:hAnsi="Bookman Old Style" w:cs="Times New Roman"/>
          <w:sz w:val="24"/>
          <w:szCs w:val="24"/>
        </w:rPr>
        <w:t>odio filosófico y también lo fue</w:t>
      </w:r>
      <w:r w:rsidRPr="0018236D">
        <w:rPr>
          <w:rFonts w:ascii="Bookman Old Style" w:hAnsi="Bookman Old Style" w:cs="Times New Roman"/>
          <w:sz w:val="24"/>
          <w:szCs w:val="24"/>
        </w:rPr>
        <w:t xml:space="preserve"> su caída. Esta predicción tuvo lugar cuando nadie hablaba de ella. Pero cuando finalmente llegó</w:t>
      </w:r>
      <w:r w:rsidR="00E872AF" w:rsidRPr="0018236D">
        <w:rPr>
          <w:rFonts w:ascii="Bookman Old Style" w:hAnsi="Bookman Old Style" w:cs="Times New Roman"/>
          <w:sz w:val="24"/>
          <w:szCs w:val="24"/>
        </w:rPr>
        <w:t>,</w:t>
      </w:r>
      <w:r w:rsidRPr="0018236D">
        <w:rPr>
          <w:rFonts w:ascii="Bookman Old Style" w:hAnsi="Bookman Old Style" w:cs="Times New Roman"/>
          <w:sz w:val="24"/>
          <w:szCs w:val="24"/>
        </w:rPr>
        <w:t xml:space="preserve"> Komar no se detuvo en lo que había </w:t>
      </w:r>
      <w:r w:rsidR="0075410A" w:rsidRPr="0018236D">
        <w:rPr>
          <w:rFonts w:ascii="Bookman Old Style" w:hAnsi="Bookman Old Style" w:cs="Times New Roman"/>
          <w:sz w:val="24"/>
          <w:szCs w:val="24"/>
        </w:rPr>
        <w:t>previsto en soledad sino que vio</w:t>
      </w:r>
      <w:r w:rsidRPr="0018236D">
        <w:rPr>
          <w:rFonts w:ascii="Bookman Old Style" w:hAnsi="Bookman Old Style" w:cs="Times New Roman"/>
          <w:sz w:val="24"/>
          <w:szCs w:val="24"/>
        </w:rPr>
        <w:t xml:space="preserve"> cómo el marxismo se disolvía internamente y, en su descomposición, abrazaba mortalmente a la misma sociedad opulenta que había surgido en contra de él.</w:t>
      </w:r>
      <w:r w:rsidR="001563C4" w:rsidRPr="0018236D">
        <w:rPr>
          <w:rFonts w:ascii="Bookman Old Style" w:hAnsi="Bookman Old Style" w:cs="Times New Roman"/>
          <w:sz w:val="24"/>
          <w:szCs w:val="24"/>
        </w:rPr>
        <w:t xml:space="preserve"> La heterogénesis de los fines se refiere a que los elementos constitutivos del marxismo se escinden de su unidad originaria y concluyen en algo opuesto al sentido primigeni</w:t>
      </w:r>
      <w:r w:rsidR="000608E7" w:rsidRPr="0018236D">
        <w:rPr>
          <w:rFonts w:ascii="Bookman Old Style" w:hAnsi="Bookman Old Style" w:cs="Times New Roman"/>
          <w:sz w:val="24"/>
          <w:szCs w:val="24"/>
        </w:rPr>
        <w:t>o</w:t>
      </w:r>
      <w:r w:rsidR="001563C4" w:rsidRPr="0018236D">
        <w:rPr>
          <w:rFonts w:ascii="Bookman Old Style" w:hAnsi="Bookman Old Style" w:cs="Times New Roman"/>
          <w:sz w:val="24"/>
          <w:szCs w:val="24"/>
        </w:rPr>
        <w:t>. Así la primacía de la práxis se independiza del materialismo y se desarrolla como actualismo, y el materialismo dialéctico se convierte en historicismo separado de la revolución.</w:t>
      </w:r>
      <w:r w:rsidR="00D66B82" w:rsidRPr="0018236D">
        <w:rPr>
          <w:rFonts w:ascii="Bookman Old Style" w:hAnsi="Bookman Old Style" w:cs="Times New Roman"/>
          <w:sz w:val="24"/>
          <w:szCs w:val="24"/>
        </w:rPr>
        <w:t xml:space="preserve"> Sabemos hasta qué punto </w:t>
      </w:r>
      <w:r w:rsidR="004962E1" w:rsidRPr="0018236D">
        <w:rPr>
          <w:rFonts w:ascii="Bookman Old Style" w:hAnsi="Bookman Old Style" w:cs="Times New Roman"/>
          <w:sz w:val="24"/>
          <w:szCs w:val="24"/>
        </w:rPr>
        <w:t>e</w:t>
      </w:r>
      <w:r w:rsidR="00CB421D" w:rsidRPr="0018236D">
        <w:rPr>
          <w:rFonts w:ascii="Bookman Old Style" w:hAnsi="Bookman Old Style" w:cs="Times New Roman"/>
          <w:sz w:val="24"/>
          <w:szCs w:val="24"/>
        </w:rPr>
        <w:t>l lugar de Gentile y</w:t>
      </w:r>
      <w:r w:rsidR="004962E1" w:rsidRPr="0018236D">
        <w:rPr>
          <w:rFonts w:ascii="Bookman Old Style" w:hAnsi="Bookman Old Style" w:cs="Times New Roman"/>
          <w:sz w:val="24"/>
          <w:szCs w:val="24"/>
        </w:rPr>
        <w:t xml:space="preserve"> su obra juvenil sobre Marx era central para del Noce en esta demostración.</w:t>
      </w:r>
    </w:p>
    <w:p w:rsidR="00052E63" w:rsidRPr="0018236D" w:rsidRDefault="00052E63" w:rsidP="009766F5">
      <w:pPr>
        <w:spacing w:line="360" w:lineRule="auto"/>
        <w:jc w:val="both"/>
        <w:rPr>
          <w:rFonts w:ascii="Bookman Old Style" w:hAnsi="Bookman Old Style" w:cs="Times New Roman"/>
          <w:sz w:val="24"/>
          <w:szCs w:val="24"/>
        </w:rPr>
      </w:pPr>
      <w:r w:rsidRPr="0018236D">
        <w:rPr>
          <w:rFonts w:ascii="Bookman Old Style" w:hAnsi="Bookman Old Style" w:cs="Times New Roman"/>
          <w:sz w:val="24"/>
          <w:szCs w:val="24"/>
        </w:rPr>
        <w:lastRenderedPageBreak/>
        <w:t>Muchos años antes de la caída del marxismo del Noce señalaba la contradicción interna del marxismo que luego se materializaría</w:t>
      </w:r>
      <w:r w:rsidR="00AC352E" w:rsidRPr="0018236D">
        <w:rPr>
          <w:rFonts w:ascii="Bookman Old Style" w:hAnsi="Bookman Old Style" w:cs="Times New Roman"/>
          <w:sz w:val="24"/>
          <w:szCs w:val="24"/>
        </w:rPr>
        <w:t xml:space="preserve"> en su caída efectiva:”(…) Pero</w:t>
      </w:r>
      <w:r w:rsidR="006F55F3" w:rsidRPr="0018236D">
        <w:rPr>
          <w:rFonts w:ascii="Bookman Old Style" w:hAnsi="Bookman Old Style" w:cs="Times New Roman"/>
          <w:sz w:val="24"/>
          <w:szCs w:val="24"/>
        </w:rPr>
        <w:t xml:space="preserve"> (digo)</w:t>
      </w:r>
      <w:r w:rsidR="00AC352E" w:rsidRPr="0018236D">
        <w:rPr>
          <w:rFonts w:ascii="Bookman Old Style" w:hAnsi="Bookman Old Style" w:cs="Times New Roman"/>
          <w:sz w:val="24"/>
          <w:szCs w:val="24"/>
        </w:rPr>
        <w:t xml:space="preserve"> que esta contradicción lleva no ya a una superación sino a una descomposición; y que en esta d</w:t>
      </w:r>
      <w:r w:rsidR="001806E8" w:rsidRPr="0018236D">
        <w:rPr>
          <w:rFonts w:ascii="Bookman Old Style" w:hAnsi="Bookman Old Style" w:cs="Times New Roman"/>
          <w:sz w:val="24"/>
          <w:szCs w:val="24"/>
        </w:rPr>
        <w:t>escomposición no se alcanza ya</w:t>
      </w:r>
      <w:r w:rsidR="00AC352E" w:rsidRPr="0018236D">
        <w:rPr>
          <w:rFonts w:ascii="Bookman Old Style" w:hAnsi="Bookman Old Style" w:cs="Times New Roman"/>
          <w:sz w:val="24"/>
          <w:szCs w:val="24"/>
        </w:rPr>
        <w:t xml:space="preserve"> su conciliación con el laicismo liberal o con el pensamiento </w:t>
      </w:r>
      <w:r w:rsidR="001806E8" w:rsidRPr="0018236D">
        <w:rPr>
          <w:rFonts w:ascii="Bookman Old Style" w:hAnsi="Bookman Old Style" w:cs="Times New Roman"/>
          <w:sz w:val="24"/>
          <w:szCs w:val="24"/>
        </w:rPr>
        <w:t>religioso. Sino, a la inversa, con</w:t>
      </w:r>
      <w:r w:rsidR="00AC352E" w:rsidRPr="0018236D">
        <w:rPr>
          <w:rFonts w:ascii="Bookman Old Style" w:hAnsi="Bookman Old Style" w:cs="Times New Roman"/>
          <w:sz w:val="24"/>
          <w:szCs w:val="24"/>
        </w:rPr>
        <w:t xml:space="preserve"> una forma de ateísmo que es peor y más radical que aquella originaria</w:t>
      </w:r>
      <w:r w:rsidR="008D5081" w:rsidRPr="0018236D">
        <w:rPr>
          <w:rFonts w:ascii="Bookman Old Style" w:hAnsi="Bookman Old Style" w:cs="Times New Roman"/>
          <w:sz w:val="24"/>
          <w:szCs w:val="24"/>
        </w:rPr>
        <w:t xml:space="preserve"> (…)”</w:t>
      </w:r>
      <w:r w:rsidR="008D5081" w:rsidRPr="0018236D">
        <w:rPr>
          <w:rStyle w:val="Refdenotaalpie"/>
          <w:rFonts w:ascii="Bookman Old Style" w:hAnsi="Bookman Old Style" w:cs="Times New Roman"/>
          <w:sz w:val="24"/>
          <w:szCs w:val="24"/>
        </w:rPr>
        <w:footnoteReference w:id="5"/>
      </w:r>
      <w:r w:rsidR="008D5081" w:rsidRPr="0018236D">
        <w:rPr>
          <w:rFonts w:ascii="Bookman Old Style" w:hAnsi="Bookman Old Style" w:cs="Times New Roman"/>
          <w:sz w:val="24"/>
          <w:szCs w:val="24"/>
        </w:rPr>
        <w:t>. Volveremos sobre esto.</w:t>
      </w:r>
    </w:p>
    <w:p w:rsidR="008D5081" w:rsidRPr="0018236D" w:rsidRDefault="008D5081" w:rsidP="009766F5">
      <w:pPr>
        <w:spacing w:line="360" w:lineRule="auto"/>
        <w:jc w:val="both"/>
        <w:rPr>
          <w:rFonts w:ascii="Bookman Old Style" w:hAnsi="Bookman Old Style" w:cs="Times New Roman"/>
          <w:sz w:val="24"/>
          <w:szCs w:val="24"/>
        </w:rPr>
      </w:pPr>
      <w:r w:rsidRPr="0018236D">
        <w:rPr>
          <w:rFonts w:ascii="Bookman Old Style" w:hAnsi="Bookman Old Style" w:cs="Times New Roman"/>
          <w:sz w:val="24"/>
          <w:szCs w:val="24"/>
        </w:rPr>
        <w:t>El marxismo no era entonces susceptible de superación o “inveramento”. Por el contrario se anunciaba su disolución.</w:t>
      </w:r>
      <w:r w:rsidR="0044055B" w:rsidRPr="0018236D">
        <w:rPr>
          <w:rFonts w:ascii="Bookman Old Style" w:hAnsi="Bookman Old Style" w:cs="Times New Roman"/>
          <w:sz w:val="24"/>
          <w:szCs w:val="24"/>
        </w:rPr>
        <w:t xml:space="preserve"> Komar repetía que el tema antiburgués no era originariamente marxista. Su origen había que buscarlo en la crítica católica tradicionalista de la burguesí</w:t>
      </w:r>
      <w:r w:rsidR="001C4FA3" w:rsidRPr="0018236D">
        <w:rPr>
          <w:rFonts w:ascii="Bookman Old Style" w:hAnsi="Bookman Old Style" w:cs="Times New Roman"/>
          <w:sz w:val="24"/>
          <w:szCs w:val="24"/>
        </w:rPr>
        <w:t>a que Marx había conocido en París</w:t>
      </w:r>
      <w:r w:rsidR="00DB18EA" w:rsidRPr="0018236D">
        <w:rPr>
          <w:rStyle w:val="Refdenotaalpie"/>
          <w:rFonts w:ascii="Bookman Old Style" w:hAnsi="Bookman Old Style" w:cs="Times New Roman"/>
          <w:sz w:val="24"/>
          <w:szCs w:val="24"/>
        </w:rPr>
        <w:footnoteReference w:id="6"/>
      </w:r>
      <w:r w:rsidR="001C4FA3" w:rsidRPr="0018236D">
        <w:rPr>
          <w:rFonts w:ascii="Bookman Old Style" w:hAnsi="Bookman Old Style" w:cs="Times New Roman"/>
          <w:sz w:val="24"/>
          <w:szCs w:val="24"/>
        </w:rPr>
        <w:t xml:space="preserve"> </w:t>
      </w:r>
      <w:r w:rsidR="00F75D96" w:rsidRPr="0018236D">
        <w:rPr>
          <w:rFonts w:ascii="Bookman Old Style" w:hAnsi="Bookman Old Style" w:cs="Times New Roman"/>
          <w:sz w:val="24"/>
          <w:szCs w:val="24"/>
        </w:rPr>
        <w:t>(A. Omodeo)</w:t>
      </w:r>
      <w:r w:rsidR="001C4FA3" w:rsidRPr="0018236D">
        <w:rPr>
          <w:rFonts w:ascii="Bookman Old Style" w:hAnsi="Bookman Old Style" w:cs="Times New Roman"/>
          <w:sz w:val="24"/>
          <w:szCs w:val="24"/>
        </w:rPr>
        <w:t>. Por ese motivo su resistencia al aburguesamiento era</w:t>
      </w:r>
      <w:r w:rsidR="00690E6E" w:rsidRPr="0018236D">
        <w:rPr>
          <w:rFonts w:ascii="Bookman Old Style" w:hAnsi="Bookman Old Style" w:cs="Times New Roman"/>
          <w:sz w:val="24"/>
          <w:szCs w:val="24"/>
        </w:rPr>
        <w:t xml:space="preserve"> menor</w:t>
      </w:r>
      <w:r w:rsidR="00CB421D" w:rsidRPr="0018236D">
        <w:rPr>
          <w:rFonts w:ascii="Bookman Old Style" w:hAnsi="Bookman Old Style" w:cs="Times New Roman"/>
          <w:sz w:val="24"/>
          <w:szCs w:val="24"/>
        </w:rPr>
        <w:t xml:space="preserve"> al sospechado en su obra</w:t>
      </w:r>
      <w:r w:rsidR="001C4FA3" w:rsidRPr="0018236D">
        <w:rPr>
          <w:rFonts w:ascii="Bookman Old Style" w:hAnsi="Bookman Old Style" w:cs="Times New Roman"/>
          <w:sz w:val="24"/>
          <w:szCs w:val="24"/>
        </w:rPr>
        <w:t>.</w:t>
      </w:r>
      <w:r w:rsidR="00486609" w:rsidRPr="0018236D">
        <w:rPr>
          <w:rFonts w:ascii="Bookman Old Style" w:hAnsi="Bookman Old Style" w:cs="Times New Roman"/>
          <w:sz w:val="24"/>
          <w:szCs w:val="24"/>
        </w:rPr>
        <w:t xml:space="preserve"> Lo dice de una forma metafísica en el curso de referencia:</w:t>
      </w:r>
      <w:r w:rsidR="00CB421D" w:rsidRPr="0018236D">
        <w:rPr>
          <w:rFonts w:ascii="Bookman Old Style" w:hAnsi="Bookman Old Style" w:cs="Times New Roman"/>
          <w:sz w:val="24"/>
          <w:szCs w:val="24"/>
        </w:rPr>
        <w:t xml:space="preserve"> </w:t>
      </w:r>
      <w:r w:rsidR="00486609" w:rsidRPr="0018236D">
        <w:rPr>
          <w:rFonts w:ascii="Bookman Old Style" w:hAnsi="Bookman Old Style" w:cs="Times New Roman"/>
          <w:sz w:val="24"/>
          <w:szCs w:val="24"/>
        </w:rPr>
        <w:t>”</w:t>
      </w:r>
      <w:r w:rsidR="00CC091D" w:rsidRPr="0018236D">
        <w:rPr>
          <w:rFonts w:ascii="Bookman Old Style" w:hAnsi="Bookman Old Style" w:cs="Times New Roman"/>
          <w:sz w:val="24"/>
          <w:szCs w:val="24"/>
        </w:rPr>
        <w:t>La rev</w:t>
      </w:r>
      <w:r w:rsidR="00BB646C" w:rsidRPr="0018236D">
        <w:rPr>
          <w:rFonts w:ascii="Bookman Old Style" w:hAnsi="Bookman Old Style" w:cs="Times New Roman"/>
          <w:sz w:val="24"/>
          <w:szCs w:val="24"/>
        </w:rPr>
        <w:t>o</w:t>
      </w:r>
      <w:r w:rsidR="00CC091D" w:rsidRPr="0018236D">
        <w:rPr>
          <w:rFonts w:ascii="Bookman Old Style" w:hAnsi="Bookman Old Style" w:cs="Times New Roman"/>
          <w:sz w:val="24"/>
          <w:szCs w:val="24"/>
        </w:rPr>
        <w:t>lución natural del marxismo</w:t>
      </w:r>
      <w:r w:rsidR="00BB646C" w:rsidRPr="0018236D">
        <w:rPr>
          <w:rFonts w:ascii="Bookman Old Style" w:hAnsi="Bookman Old Style" w:cs="Times New Roman"/>
          <w:sz w:val="24"/>
          <w:szCs w:val="24"/>
        </w:rPr>
        <w:t xml:space="preserve"> tomaba el siguiente camino: primero daba vuelta la posición de Hegel, es decir, rechazaba la teologización de lo finito, pero quedaba con la carga teológica, o mística, que pasaba al gran esfuerzo revolucionario. La revolución era inconcebible sin esa carga mística. Pero la tendencia irrefrenable, irreversible dentro del sistema llevaba constantemente a la expurgación de todos los vestigios teológicos, místicos, religiosos, mitológicos</w:t>
      </w:r>
      <w:r w:rsidR="002F3CD9" w:rsidRPr="0018236D">
        <w:rPr>
          <w:rFonts w:ascii="Bookman Old Style" w:hAnsi="Bookman Old Style" w:cs="Times New Roman"/>
          <w:sz w:val="24"/>
          <w:szCs w:val="24"/>
        </w:rPr>
        <w:t xml:space="preserve"> dentro del marxismo (…).” (P. 25)</w:t>
      </w:r>
      <w:r w:rsidR="009766F5" w:rsidRPr="0018236D">
        <w:rPr>
          <w:rStyle w:val="Refdenotaalpie"/>
          <w:rFonts w:ascii="Bookman Old Style" w:hAnsi="Bookman Old Style" w:cs="Times New Roman"/>
          <w:sz w:val="24"/>
          <w:szCs w:val="24"/>
        </w:rPr>
        <w:footnoteReference w:id="7"/>
      </w:r>
      <w:r w:rsidR="002F3CD9" w:rsidRPr="0018236D">
        <w:rPr>
          <w:rFonts w:ascii="Bookman Old Style" w:hAnsi="Bookman Old Style" w:cs="Times New Roman"/>
          <w:sz w:val="24"/>
          <w:szCs w:val="24"/>
        </w:rPr>
        <w:t>. Al mismo tiempo que se expurgaban esos vestigios metafísicos</w:t>
      </w:r>
      <w:r w:rsidR="004D50C2" w:rsidRPr="0018236D">
        <w:rPr>
          <w:rStyle w:val="Refdenotaalpie"/>
          <w:rFonts w:ascii="Bookman Old Style" w:hAnsi="Bookman Old Style" w:cs="Times New Roman"/>
          <w:sz w:val="24"/>
          <w:szCs w:val="24"/>
        </w:rPr>
        <w:footnoteReference w:id="8"/>
      </w:r>
      <w:r w:rsidR="002F3CD9" w:rsidRPr="0018236D">
        <w:rPr>
          <w:rFonts w:ascii="Bookman Old Style" w:hAnsi="Bookman Old Style" w:cs="Times New Roman"/>
          <w:sz w:val="24"/>
          <w:szCs w:val="24"/>
        </w:rPr>
        <w:t xml:space="preserve"> la finitud restante desprovista de cualquier resto de infinitud se inclinaba … hacia la sociedad opulenta (</w:t>
      </w:r>
      <w:r w:rsidR="002F3CD9" w:rsidRPr="0018236D">
        <w:rPr>
          <w:rFonts w:ascii="Bookman Old Style" w:hAnsi="Bookman Old Style" w:cs="Times New Roman"/>
          <w:i/>
          <w:sz w:val="24"/>
          <w:szCs w:val="24"/>
        </w:rPr>
        <w:t>Op. cit</w:t>
      </w:r>
      <w:r w:rsidR="002F3CD9" w:rsidRPr="0018236D">
        <w:rPr>
          <w:rFonts w:ascii="Bookman Old Style" w:hAnsi="Bookman Old Style" w:cs="Times New Roman"/>
          <w:sz w:val="24"/>
          <w:szCs w:val="24"/>
        </w:rPr>
        <w:t>., p. 27).</w:t>
      </w:r>
    </w:p>
    <w:p w:rsidR="007C2FF8" w:rsidRPr="0018236D" w:rsidRDefault="007C2FF8" w:rsidP="009766F5">
      <w:pPr>
        <w:spacing w:line="360" w:lineRule="auto"/>
        <w:jc w:val="both"/>
        <w:rPr>
          <w:rFonts w:ascii="Bookman Old Style" w:hAnsi="Bookman Old Style" w:cs="Times New Roman"/>
          <w:sz w:val="24"/>
          <w:szCs w:val="24"/>
        </w:rPr>
      </w:pPr>
      <w:r w:rsidRPr="0018236D">
        <w:rPr>
          <w:rFonts w:ascii="Bookman Old Style" w:hAnsi="Bookman Old Style" w:cs="Times New Roman"/>
          <w:sz w:val="24"/>
          <w:szCs w:val="24"/>
        </w:rPr>
        <w:t xml:space="preserve">En otro pasaje señala cómo el tema de la alienación desapareció en el Marx de </w:t>
      </w:r>
      <w:r w:rsidRPr="0018236D">
        <w:rPr>
          <w:rFonts w:ascii="Bookman Old Style" w:hAnsi="Bookman Old Style" w:cs="Times New Roman"/>
          <w:i/>
          <w:sz w:val="24"/>
          <w:szCs w:val="24"/>
        </w:rPr>
        <w:t>El Capital</w:t>
      </w:r>
      <w:r w:rsidRPr="0018236D">
        <w:rPr>
          <w:rFonts w:ascii="Bookman Old Style" w:hAnsi="Bookman Old Style" w:cs="Times New Roman"/>
          <w:sz w:val="24"/>
          <w:szCs w:val="24"/>
        </w:rPr>
        <w:t xml:space="preserve"> y fue reemplazado por la consideración de la miseria y es ahora esta la que lleva a la </w:t>
      </w:r>
      <w:r w:rsidRPr="0018236D">
        <w:rPr>
          <w:rFonts w:ascii="Bookman Old Style" w:hAnsi="Bookman Old Style" w:cs="Times New Roman"/>
          <w:sz w:val="24"/>
          <w:szCs w:val="24"/>
        </w:rPr>
        <w:lastRenderedPageBreak/>
        <w:t xml:space="preserve">revolución: “Entonces hay lugar para una sociedad opulenta en el esquema de </w:t>
      </w:r>
      <w:r w:rsidRPr="0018236D">
        <w:rPr>
          <w:rFonts w:ascii="Bookman Old Style" w:hAnsi="Bookman Old Style" w:cs="Times New Roman"/>
          <w:i/>
          <w:sz w:val="24"/>
          <w:szCs w:val="24"/>
        </w:rPr>
        <w:t>El Capital</w:t>
      </w:r>
      <w:r w:rsidRPr="0018236D">
        <w:rPr>
          <w:rFonts w:ascii="Bookman Old Style" w:hAnsi="Bookman Old Style" w:cs="Times New Roman"/>
          <w:sz w:val="24"/>
          <w:szCs w:val="24"/>
        </w:rPr>
        <w:t>” (</w:t>
      </w:r>
      <w:r w:rsidRPr="0018236D">
        <w:rPr>
          <w:rFonts w:ascii="Bookman Old Style" w:hAnsi="Bookman Old Style" w:cs="Times New Roman"/>
          <w:i/>
          <w:sz w:val="24"/>
          <w:szCs w:val="24"/>
        </w:rPr>
        <w:t>Op. cit.</w:t>
      </w:r>
      <w:r w:rsidRPr="0018236D">
        <w:rPr>
          <w:rFonts w:ascii="Bookman Old Style" w:hAnsi="Bookman Old Style" w:cs="Times New Roman"/>
          <w:sz w:val="24"/>
          <w:szCs w:val="24"/>
        </w:rPr>
        <w:t xml:space="preserve"> p. 33).</w:t>
      </w:r>
    </w:p>
    <w:p w:rsidR="00E872AF" w:rsidRPr="0018236D" w:rsidRDefault="00376424" w:rsidP="009766F5">
      <w:pPr>
        <w:spacing w:line="360" w:lineRule="auto"/>
        <w:jc w:val="both"/>
        <w:rPr>
          <w:rFonts w:ascii="Bookman Old Style" w:hAnsi="Bookman Old Style" w:cs="Times New Roman"/>
          <w:sz w:val="24"/>
          <w:szCs w:val="24"/>
        </w:rPr>
      </w:pPr>
      <w:r w:rsidRPr="0018236D">
        <w:rPr>
          <w:rFonts w:ascii="Bookman Old Style" w:hAnsi="Bookman Old Style" w:cs="Times New Roman"/>
          <w:sz w:val="24"/>
          <w:szCs w:val="24"/>
        </w:rPr>
        <w:t>El marco más amplio de esta cuestión es la victoria de</w:t>
      </w:r>
      <w:r w:rsidR="00EB59B1" w:rsidRPr="0018236D">
        <w:rPr>
          <w:rFonts w:ascii="Bookman Old Style" w:hAnsi="Bookman Old Style" w:cs="Times New Roman"/>
          <w:sz w:val="24"/>
          <w:szCs w:val="24"/>
        </w:rPr>
        <w:t xml:space="preserve"> Kant y Comte sobre Hegel y Marx.</w:t>
      </w:r>
      <w:r w:rsidR="00E872AF" w:rsidRPr="0018236D">
        <w:rPr>
          <w:rFonts w:ascii="Bookman Old Style" w:hAnsi="Bookman Old Style" w:cs="Times New Roman"/>
          <w:sz w:val="24"/>
          <w:szCs w:val="24"/>
        </w:rPr>
        <w:t xml:space="preserve"> Komar estab</w:t>
      </w:r>
      <w:r w:rsidR="00EB59B1" w:rsidRPr="0018236D">
        <w:rPr>
          <w:rFonts w:ascii="Bookman Old Style" w:hAnsi="Bookman Old Style" w:cs="Times New Roman"/>
          <w:sz w:val="24"/>
          <w:szCs w:val="24"/>
        </w:rPr>
        <w:t>lecía etapas en esta victoria.</w:t>
      </w:r>
      <w:r w:rsidR="008E3958" w:rsidRPr="0018236D">
        <w:rPr>
          <w:rFonts w:ascii="Bookman Old Style" w:hAnsi="Bookman Old Style" w:cs="Times New Roman"/>
          <w:sz w:val="24"/>
          <w:szCs w:val="24"/>
        </w:rPr>
        <w:t xml:space="preserve"> No era algo que hubiera surgido </w:t>
      </w:r>
      <w:r w:rsidR="008E3958" w:rsidRPr="0018236D">
        <w:rPr>
          <w:rFonts w:ascii="Bookman Old Style" w:hAnsi="Bookman Old Style" w:cs="Times New Roman"/>
          <w:i/>
          <w:sz w:val="24"/>
          <w:szCs w:val="24"/>
        </w:rPr>
        <w:t>ex nihilo</w:t>
      </w:r>
      <w:r w:rsidR="008E3958" w:rsidRPr="0018236D">
        <w:rPr>
          <w:rFonts w:ascii="Bookman Old Style" w:hAnsi="Bookman Old Style" w:cs="Times New Roman"/>
          <w:sz w:val="24"/>
          <w:szCs w:val="24"/>
        </w:rPr>
        <w:t xml:space="preserve">. </w:t>
      </w:r>
      <w:r w:rsidR="00E872AF" w:rsidRPr="0018236D">
        <w:rPr>
          <w:rFonts w:ascii="Bookman Old Style" w:hAnsi="Bookman Old Style" w:cs="Times New Roman"/>
          <w:sz w:val="24"/>
          <w:szCs w:val="24"/>
        </w:rPr>
        <w:t>1)</w:t>
      </w:r>
      <w:r w:rsidR="0055297F" w:rsidRPr="0018236D">
        <w:rPr>
          <w:rFonts w:ascii="Bookman Old Style" w:hAnsi="Bookman Old Style"/>
        </w:rPr>
        <w:t xml:space="preserve"> </w:t>
      </w:r>
      <w:r w:rsidR="0055297F" w:rsidRPr="0018236D">
        <w:rPr>
          <w:rFonts w:ascii="Bookman Old Style" w:hAnsi="Bookman Old Style" w:cs="Times New Roman"/>
          <w:sz w:val="24"/>
          <w:szCs w:val="24"/>
        </w:rPr>
        <w:t>Engels es muy positivista al final de su obra</w:t>
      </w:r>
      <w:r w:rsidR="00964232" w:rsidRPr="0018236D">
        <w:rPr>
          <w:rStyle w:val="Refdenotaalpie"/>
          <w:rFonts w:ascii="Bookman Old Style" w:hAnsi="Bookman Old Style" w:cs="Times New Roman"/>
          <w:sz w:val="24"/>
          <w:szCs w:val="24"/>
        </w:rPr>
        <w:footnoteReference w:id="9"/>
      </w:r>
      <w:r w:rsidR="0055297F" w:rsidRPr="0018236D">
        <w:rPr>
          <w:rFonts w:ascii="Bookman Old Style" w:hAnsi="Bookman Old Style" w:cs="Times New Roman"/>
          <w:sz w:val="24"/>
          <w:szCs w:val="24"/>
        </w:rPr>
        <w:t>. Stalin era más engelsista que marxista. Daba importancia a la industria. Mao Tse Tung decía que Kruschev era conservador pero el proceso empezaba en Stalin. Moderó la radicalidad revolucionaria leninista. No apoyó ni a Tito ni a Mao ni a los revolucionarios españoles en la Guerra Civil.</w:t>
      </w:r>
      <w:r w:rsidR="008E3958" w:rsidRPr="0018236D">
        <w:rPr>
          <w:rFonts w:ascii="Bookman Old Style" w:hAnsi="Bookman Old Style" w:cs="Times New Roman"/>
          <w:sz w:val="24"/>
          <w:szCs w:val="24"/>
        </w:rPr>
        <w:t xml:space="preserve"> </w:t>
      </w:r>
      <w:r w:rsidR="00E872AF" w:rsidRPr="0018236D">
        <w:rPr>
          <w:rFonts w:ascii="Bookman Old Style" w:hAnsi="Bookman Old Style" w:cs="Times New Roman"/>
          <w:sz w:val="24"/>
          <w:szCs w:val="24"/>
        </w:rPr>
        <w:t xml:space="preserve">2) </w:t>
      </w:r>
      <w:r w:rsidR="0055297F" w:rsidRPr="0018236D">
        <w:rPr>
          <w:rFonts w:ascii="Bookman Old Style" w:hAnsi="Bookman Old Style" w:cs="Times New Roman"/>
          <w:sz w:val="24"/>
          <w:szCs w:val="24"/>
        </w:rPr>
        <w:t>Hay una prevalencia de Bernstein</w:t>
      </w:r>
      <w:r w:rsidR="00EB59B1" w:rsidRPr="0018236D">
        <w:rPr>
          <w:rStyle w:val="Refdenotaalpie"/>
          <w:rFonts w:ascii="Bookman Old Style" w:hAnsi="Bookman Old Style" w:cs="Times New Roman"/>
          <w:sz w:val="24"/>
          <w:szCs w:val="24"/>
        </w:rPr>
        <w:footnoteReference w:id="10"/>
      </w:r>
      <w:r w:rsidR="0055297F" w:rsidRPr="0018236D">
        <w:rPr>
          <w:rFonts w:ascii="Bookman Old Style" w:hAnsi="Bookman Old Style" w:cs="Times New Roman"/>
          <w:sz w:val="24"/>
          <w:szCs w:val="24"/>
        </w:rPr>
        <w:t xml:space="preserve"> y Kautsky dentro del Partido Social-demócrata. Aquí la consigna era “lejos de Hegel”. Se volvía a Kant y a la moral kantiana y, políticamente, se adhería al parlamentarismo </w:t>
      </w:r>
      <w:r w:rsidR="00E872AF" w:rsidRPr="0018236D">
        <w:rPr>
          <w:rFonts w:ascii="Bookman Old Style" w:hAnsi="Bookman Old Style" w:cs="Times New Roman"/>
          <w:sz w:val="24"/>
          <w:szCs w:val="24"/>
        </w:rPr>
        <w:t>3) El marxismo de postguerra no es vencido por el antimarxismo sino por el positivismo</w:t>
      </w:r>
      <w:r w:rsidR="00645628" w:rsidRPr="0018236D">
        <w:rPr>
          <w:rFonts w:ascii="Bookman Old Style" w:hAnsi="Bookman Old Style" w:cs="Times New Roman"/>
          <w:sz w:val="24"/>
          <w:szCs w:val="24"/>
        </w:rPr>
        <w:t>.</w:t>
      </w:r>
      <w:r w:rsidR="00906330" w:rsidRPr="0018236D">
        <w:rPr>
          <w:rFonts w:ascii="Bookman Old Style" w:hAnsi="Bookman Old Style" w:cs="Times New Roman"/>
          <w:sz w:val="24"/>
          <w:szCs w:val="24"/>
        </w:rPr>
        <w:t xml:space="preserve"> Hay algunos episodios argentinos que se ubican en estas coordenadas. Uno es el del “Che” Guevara que promueve la revolución en soledad cuando el marxismo tomaba otra dirección. Y también fracasan los intentos de reflotar el gramscismo en la época de Alfonsín ya que no había mística revolucionaria alguna. Algo que sí sucedía en la época de Mussolini</w:t>
      </w:r>
      <w:r w:rsidR="0045300D" w:rsidRPr="0018236D">
        <w:rPr>
          <w:rStyle w:val="Refdenotaalpie"/>
          <w:rFonts w:ascii="Bookman Old Style" w:hAnsi="Bookman Old Style" w:cs="Times New Roman"/>
          <w:sz w:val="24"/>
          <w:szCs w:val="24"/>
        </w:rPr>
        <w:footnoteReference w:id="11"/>
      </w:r>
      <w:r w:rsidR="00906330" w:rsidRPr="0018236D">
        <w:rPr>
          <w:rFonts w:ascii="Bookman Old Style" w:hAnsi="Bookman Old Style" w:cs="Times New Roman"/>
          <w:sz w:val="24"/>
          <w:szCs w:val="24"/>
        </w:rPr>
        <w:t xml:space="preserve"> o Lenin. </w:t>
      </w:r>
    </w:p>
    <w:p w:rsidR="00083BE9" w:rsidRPr="0018236D" w:rsidRDefault="00083BE9" w:rsidP="009766F5">
      <w:pPr>
        <w:spacing w:line="360" w:lineRule="auto"/>
        <w:jc w:val="both"/>
        <w:rPr>
          <w:rFonts w:ascii="Bookman Old Style" w:hAnsi="Bookman Old Style" w:cs="Times New Roman"/>
          <w:sz w:val="24"/>
          <w:szCs w:val="24"/>
        </w:rPr>
      </w:pPr>
      <w:r w:rsidRPr="0018236D">
        <w:rPr>
          <w:rFonts w:ascii="Bookman Old Style" w:hAnsi="Bookman Old Style" w:cs="Times New Roman"/>
          <w:sz w:val="24"/>
          <w:szCs w:val="24"/>
        </w:rPr>
        <w:t xml:space="preserve">Komar hablaba de una verdadera diseminación del marxismo bajo variadas formas: 1) Primacía de la práxis: No hay verdad. P. ej. en la mentalidad tecnocrática. 2) Materialismo histórico: Todo el resto es </w:t>
      </w:r>
      <w:r w:rsidRPr="0018236D">
        <w:rPr>
          <w:rFonts w:ascii="Bookman Old Style" w:hAnsi="Bookman Old Style" w:cs="Times New Roman"/>
          <w:i/>
          <w:sz w:val="24"/>
          <w:szCs w:val="24"/>
        </w:rPr>
        <w:t>Überbau.</w:t>
      </w:r>
      <w:r w:rsidRPr="0018236D">
        <w:rPr>
          <w:rFonts w:ascii="Bookman Old Style" w:hAnsi="Bookman Old Style" w:cs="Times New Roman"/>
          <w:sz w:val="24"/>
          <w:szCs w:val="24"/>
        </w:rPr>
        <w:t xml:space="preserve"> 3) Materialismo dialéctico: exaltación de la dialéctica, es decir, de la oscilación. Pseudo equilibrio. 4) Ideología: Una construcción no tiene otra función que encubrir un interés inconfesable. De aquí se pasa al 5) Criticismo: La izquierda hegeliana destruía todo. Hoy están los maestros de la sospecha: debajo de la máscara no queda nada. 6) Relativismo: Si todo es relativo, todo depende de la historia. 7) Historicismo. 8) Sociologismo.</w:t>
      </w:r>
    </w:p>
    <w:p w:rsidR="00BE414F" w:rsidRPr="0018236D" w:rsidRDefault="00470AF5" w:rsidP="009766F5">
      <w:pPr>
        <w:spacing w:line="360" w:lineRule="auto"/>
        <w:jc w:val="both"/>
        <w:rPr>
          <w:rFonts w:ascii="Bookman Old Style" w:hAnsi="Bookman Old Style" w:cs="Times New Roman"/>
          <w:sz w:val="24"/>
          <w:szCs w:val="24"/>
        </w:rPr>
      </w:pPr>
      <w:r w:rsidRPr="0018236D">
        <w:rPr>
          <w:rFonts w:ascii="Bookman Old Style" w:hAnsi="Bookman Old Style" w:cs="Times New Roman"/>
          <w:sz w:val="24"/>
          <w:szCs w:val="24"/>
        </w:rPr>
        <w:t>Tra</w:t>
      </w:r>
      <w:r w:rsidR="00612382" w:rsidRPr="0018236D">
        <w:rPr>
          <w:rFonts w:ascii="Bookman Old Style" w:hAnsi="Bookman Old Style" w:cs="Times New Roman"/>
          <w:sz w:val="24"/>
          <w:szCs w:val="24"/>
        </w:rPr>
        <w:t>e</w:t>
      </w:r>
      <w:r w:rsidRPr="0018236D">
        <w:rPr>
          <w:rFonts w:ascii="Bookman Old Style" w:hAnsi="Bookman Old Style" w:cs="Times New Roman"/>
          <w:sz w:val="24"/>
          <w:szCs w:val="24"/>
        </w:rPr>
        <w:t>mos a cuento aquí una</w:t>
      </w:r>
      <w:r w:rsidR="00083BE9" w:rsidRPr="0018236D">
        <w:rPr>
          <w:rFonts w:ascii="Bookman Old Style" w:hAnsi="Bookman Old Style" w:cs="Times New Roman"/>
          <w:sz w:val="24"/>
          <w:szCs w:val="24"/>
        </w:rPr>
        <w:t xml:space="preserve"> anécdota repetida por Komar en sus clases</w:t>
      </w:r>
      <w:r w:rsidRPr="0018236D">
        <w:rPr>
          <w:rFonts w:ascii="Bookman Old Style" w:hAnsi="Bookman Old Style" w:cs="Times New Roman"/>
          <w:sz w:val="24"/>
          <w:szCs w:val="24"/>
        </w:rPr>
        <w:t xml:space="preserve"> que nos permitirá mostrar la </w:t>
      </w:r>
      <w:r w:rsidR="00083BE9" w:rsidRPr="0018236D">
        <w:rPr>
          <w:rFonts w:ascii="Bookman Old Style" w:hAnsi="Bookman Old Style" w:cs="Times New Roman"/>
          <w:sz w:val="24"/>
          <w:szCs w:val="24"/>
        </w:rPr>
        <w:t xml:space="preserve">actualidad del relativismo. Komar citaba a Karel Kosik quien se mostraba perplejo al contemplar cómo un jerarca soviético era primero ensalzado y homenajeado </w:t>
      </w:r>
      <w:r w:rsidR="00083BE9" w:rsidRPr="0018236D">
        <w:rPr>
          <w:rFonts w:ascii="Bookman Old Style" w:hAnsi="Bookman Old Style" w:cs="Times New Roman"/>
          <w:sz w:val="24"/>
          <w:szCs w:val="24"/>
        </w:rPr>
        <w:lastRenderedPageBreak/>
        <w:t xml:space="preserve">con una estatua para ser posteriormente defenestrado y su estatua derribada </w:t>
      </w:r>
      <w:r w:rsidR="00F8082A" w:rsidRPr="0018236D">
        <w:rPr>
          <w:rFonts w:ascii="Bookman Old Style" w:hAnsi="Bookman Old Style" w:cs="Times New Roman"/>
          <w:sz w:val="24"/>
          <w:szCs w:val="24"/>
        </w:rPr>
        <w:t xml:space="preserve">en las afueras de Praga </w:t>
      </w:r>
      <w:r w:rsidR="00083BE9" w:rsidRPr="0018236D">
        <w:rPr>
          <w:rFonts w:ascii="Bookman Old Style" w:hAnsi="Bookman Old Style" w:cs="Times New Roman"/>
          <w:sz w:val="24"/>
          <w:szCs w:val="24"/>
        </w:rPr>
        <w:t>¿Qué otra conclusión podía sacar un observador de esa escena más que el relativismo? ¿Cómo lo mismo podía ser y no ser? La no simultaneidad de los puntos de vista no alteraba mayormente la contraposición. Todo quedaba sometido al interés del Partido comunista</w:t>
      </w:r>
      <w:r w:rsidR="00EF6175" w:rsidRPr="0018236D">
        <w:rPr>
          <w:rStyle w:val="Refdenotaalpie"/>
          <w:rFonts w:ascii="Bookman Old Style" w:hAnsi="Bookman Old Style" w:cs="Times New Roman"/>
          <w:sz w:val="24"/>
          <w:szCs w:val="24"/>
        </w:rPr>
        <w:footnoteReference w:id="12"/>
      </w:r>
      <w:r w:rsidR="00083BE9" w:rsidRPr="0018236D">
        <w:rPr>
          <w:rFonts w:ascii="Bookman Old Style" w:hAnsi="Bookman Old Style" w:cs="Times New Roman"/>
          <w:sz w:val="24"/>
          <w:szCs w:val="24"/>
        </w:rPr>
        <w:t xml:space="preserve"> lo que era tanto como un flujo indeterminado desprovisto de aquella racionalidad que había de impregnar lo moderno:</w:t>
      </w:r>
      <w:r w:rsidR="00052E63" w:rsidRPr="0018236D">
        <w:rPr>
          <w:rFonts w:ascii="Bookman Old Style" w:hAnsi="Bookman Old Style" w:cs="Times New Roman"/>
          <w:sz w:val="24"/>
          <w:szCs w:val="24"/>
        </w:rPr>
        <w:t xml:space="preserve"> las luces, la razón.</w:t>
      </w:r>
      <w:r w:rsidR="00986392" w:rsidRPr="0018236D">
        <w:rPr>
          <w:rFonts w:ascii="Bookman Old Style" w:hAnsi="Bookman Old Style" w:cs="Times New Roman"/>
          <w:sz w:val="24"/>
          <w:szCs w:val="24"/>
        </w:rPr>
        <w:t xml:space="preserve"> </w:t>
      </w:r>
    </w:p>
    <w:p w:rsidR="000F0142" w:rsidRPr="0018236D" w:rsidRDefault="00083BE9" w:rsidP="009766F5">
      <w:pPr>
        <w:spacing w:line="360" w:lineRule="auto"/>
        <w:jc w:val="both"/>
        <w:rPr>
          <w:rFonts w:ascii="Bookman Old Style" w:hAnsi="Bookman Old Style" w:cs="Times New Roman"/>
          <w:sz w:val="24"/>
          <w:szCs w:val="24"/>
        </w:rPr>
      </w:pPr>
      <w:r w:rsidRPr="0018236D">
        <w:rPr>
          <w:rFonts w:ascii="Bookman Old Style" w:hAnsi="Bookman Old Style" w:cs="Times New Roman"/>
          <w:sz w:val="24"/>
          <w:szCs w:val="24"/>
        </w:rPr>
        <w:t xml:space="preserve">Un texto de Kosik ligado a esta cuestión figura en </w:t>
      </w:r>
      <w:r w:rsidRPr="0018236D">
        <w:rPr>
          <w:rFonts w:ascii="Bookman Old Style" w:hAnsi="Bookman Old Style" w:cs="Times New Roman"/>
          <w:i/>
          <w:sz w:val="24"/>
          <w:szCs w:val="24"/>
        </w:rPr>
        <w:t>Apuntes filosóficos</w:t>
      </w:r>
      <w:r w:rsidRPr="0018236D">
        <w:rPr>
          <w:rFonts w:ascii="Bookman Old Style" w:hAnsi="Bookman Old Style" w:cs="Times New Roman"/>
          <w:sz w:val="24"/>
          <w:szCs w:val="24"/>
        </w:rPr>
        <w:t xml:space="preserve"> II </w:t>
      </w:r>
      <w:r w:rsidR="00F8082A" w:rsidRPr="0018236D">
        <w:rPr>
          <w:rStyle w:val="Refdenotaalpie"/>
          <w:rFonts w:ascii="Bookman Old Style" w:hAnsi="Bookman Old Style" w:cs="Times New Roman"/>
          <w:sz w:val="24"/>
          <w:szCs w:val="24"/>
        </w:rPr>
        <w:footnoteReference w:id="13"/>
      </w:r>
      <w:r w:rsidRPr="0018236D">
        <w:rPr>
          <w:rFonts w:ascii="Bookman Old Style" w:hAnsi="Bookman Old Style" w:cs="Times New Roman"/>
          <w:sz w:val="24"/>
          <w:szCs w:val="24"/>
        </w:rPr>
        <w:t>: “Si existe una “naturaleza humana” que se define como “el conjunto de las relaciones sociales históricamente determinadas”</w:t>
      </w:r>
      <w:r w:rsidR="000F0142" w:rsidRPr="0018236D">
        <w:rPr>
          <w:rStyle w:val="Refdenotaalpie"/>
          <w:rFonts w:ascii="Bookman Old Style" w:hAnsi="Bookman Old Style" w:cs="Times New Roman"/>
          <w:sz w:val="24"/>
          <w:szCs w:val="24"/>
        </w:rPr>
        <w:footnoteReference w:id="14"/>
      </w:r>
      <w:r w:rsidRPr="0018236D">
        <w:rPr>
          <w:rFonts w:ascii="Bookman Old Style" w:hAnsi="Bookman Old Style" w:cs="Times New Roman"/>
          <w:sz w:val="24"/>
          <w:szCs w:val="24"/>
        </w:rPr>
        <w:t>, fluye de esto que el cambio del conjunto mencionado equivale al cambio de la “naturaleza humana”. Esta, entonces, cambia si cambia el conjunto de las relaciones sociales. Puesto que el conjunto de las relaciones sociales en la historia ya ha cambiado profundamente algunas veces, debería, en correspondencia, haber cambiado, algunas veces también, la “naturaleza humana”. ¿Pero puede entonces existir la historia como continuidad? ¿Y, más importante todavía, si la “naturaleza humana” ha cambiado tantas veces y puede todavía cambiar, pueden los hombres que viven en un conjunto de relaciones comprender a aquellos que viven en otro conjunto de relaciones, y puede existir entre ellos algo substancialmente común que los caracteriza como hombres</w:t>
      </w:r>
      <w:r w:rsidR="00682CAA" w:rsidRPr="0018236D">
        <w:rPr>
          <w:rStyle w:val="Refdenotaalpie"/>
          <w:rFonts w:ascii="Bookman Old Style" w:hAnsi="Bookman Old Style" w:cs="Times New Roman"/>
          <w:sz w:val="24"/>
          <w:szCs w:val="24"/>
        </w:rPr>
        <w:footnoteReference w:id="15"/>
      </w:r>
      <w:r w:rsidRPr="0018236D">
        <w:rPr>
          <w:rFonts w:ascii="Bookman Old Style" w:hAnsi="Bookman Old Style" w:cs="Times New Roman"/>
          <w:sz w:val="24"/>
          <w:szCs w:val="24"/>
        </w:rPr>
        <w:t>? ¿Si la “naturaleza humana” se identifica con un conjunto de relaciones, dónde debemos situar la capacidad de cambiar las relaciones políticas y sociales? ¿Pertenece esta capacidad a la “naturaleza del hombre”, o es algo accidental? ¿No es más justo considerar que el hombre tenga intrínsecamente la posibilidad de transformar la situación, de modo que él con su “esencia” o “naturaleza” sobrepasa el conjunto de las relaciones en las que vive y no puede ser reducido a ellas”</w:t>
      </w:r>
      <w:r w:rsidR="00DD6BF7" w:rsidRPr="0018236D">
        <w:rPr>
          <w:rFonts w:ascii="Bookman Old Style" w:hAnsi="Bookman Old Style" w:cs="Times New Roman"/>
          <w:sz w:val="24"/>
          <w:szCs w:val="24"/>
        </w:rPr>
        <w:t>.</w:t>
      </w:r>
    </w:p>
    <w:p w:rsidR="00C46ABD" w:rsidRPr="0018236D" w:rsidRDefault="004E69D5" w:rsidP="009766F5">
      <w:pPr>
        <w:spacing w:line="360" w:lineRule="auto"/>
        <w:jc w:val="both"/>
        <w:rPr>
          <w:rFonts w:ascii="Bookman Old Style" w:hAnsi="Bookman Old Style" w:cs="Times New Roman"/>
          <w:sz w:val="24"/>
          <w:szCs w:val="24"/>
        </w:rPr>
      </w:pPr>
      <w:r w:rsidRPr="0018236D">
        <w:rPr>
          <w:rFonts w:ascii="Bookman Old Style" w:hAnsi="Bookman Old Style" w:cs="Times New Roman"/>
          <w:sz w:val="24"/>
          <w:szCs w:val="24"/>
        </w:rPr>
        <w:t>Komar sostenía que si</w:t>
      </w:r>
      <w:r w:rsidR="006E1144" w:rsidRPr="0018236D">
        <w:rPr>
          <w:rFonts w:ascii="Bookman Old Style" w:hAnsi="Bookman Old Style" w:cs="Times New Roman"/>
          <w:sz w:val="24"/>
          <w:szCs w:val="24"/>
        </w:rPr>
        <w:t xml:space="preserve"> Kosik hubiera profundizado la</w:t>
      </w:r>
      <w:r w:rsidRPr="0018236D">
        <w:rPr>
          <w:rFonts w:ascii="Bookman Old Style" w:hAnsi="Bookman Old Style" w:cs="Times New Roman"/>
          <w:sz w:val="24"/>
          <w:szCs w:val="24"/>
        </w:rPr>
        <w:t xml:space="preserve"> perplejidad manifestada en el texto anterior habría arribado a una demolición de los presupuestos del marxismo</w:t>
      </w:r>
      <w:r w:rsidR="00DB18EA" w:rsidRPr="0018236D">
        <w:rPr>
          <w:rStyle w:val="Refdenotaalpie"/>
          <w:rFonts w:ascii="Bookman Old Style" w:hAnsi="Bookman Old Style" w:cs="Times New Roman"/>
          <w:sz w:val="24"/>
          <w:szCs w:val="24"/>
        </w:rPr>
        <w:footnoteReference w:id="16"/>
      </w:r>
      <w:r w:rsidRPr="0018236D">
        <w:rPr>
          <w:rFonts w:ascii="Bookman Old Style" w:hAnsi="Bookman Old Style" w:cs="Times New Roman"/>
          <w:sz w:val="24"/>
          <w:szCs w:val="24"/>
        </w:rPr>
        <w:t>. Ciertamente la insuficiencia del planteo marxista se remonta a sus orígenes</w:t>
      </w:r>
      <w:r w:rsidR="007B7685" w:rsidRPr="0018236D">
        <w:rPr>
          <w:rStyle w:val="Refdenotaalpie"/>
          <w:rFonts w:ascii="Bookman Old Style" w:hAnsi="Bookman Old Style" w:cs="Times New Roman"/>
          <w:sz w:val="24"/>
          <w:szCs w:val="24"/>
        </w:rPr>
        <w:footnoteReference w:id="17"/>
      </w:r>
      <w:r w:rsidRPr="0018236D">
        <w:rPr>
          <w:rFonts w:ascii="Bookman Old Style" w:hAnsi="Bookman Old Style" w:cs="Times New Roman"/>
          <w:sz w:val="24"/>
          <w:szCs w:val="24"/>
        </w:rPr>
        <w:t>. Allí donde Marx dice que “El hombre no es un ser abstracto enclavado en alguna parte fuera del mundo. El hombre es el mundo del hombre, el Estado, la sociedad. Este Estado, esta sociedad producen la religión, conciencia invertida del mundo, porque son ellos mismos un mundo al revés”</w:t>
      </w:r>
      <w:r w:rsidRPr="0018236D">
        <w:rPr>
          <w:rStyle w:val="Refdenotaalpie"/>
          <w:rFonts w:ascii="Bookman Old Style" w:hAnsi="Bookman Old Style" w:cs="Times New Roman"/>
          <w:sz w:val="24"/>
          <w:szCs w:val="24"/>
        </w:rPr>
        <w:footnoteReference w:id="18"/>
      </w:r>
      <w:r w:rsidR="008D1207" w:rsidRPr="0018236D">
        <w:rPr>
          <w:rFonts w:ascii="Bookman Old Style" w:hAnsi="Bookman Old Style" w:cs="Times New Roman"/>
          <w:sz w:val="24"/>
          <w:szCs w:val="24"/>
        </w:rPr>
        <w:t xml:space="preserve">. </w:t>
      </w:r>
      <w:r w:rsidR="00E65DA6" w:rsidRPr="0018236D">
        <w:rPr>
          <w:rFonts w:ascii="Bookman Old Style" w:hAnsi="Bookman Old Style" w:cs="Times New Roman"/>
          <w:sz w:val="24"/>
          <w:szCs w:val="24"/>
        </w:rPr>
        <w:t>Esta manera de ridiculizar la tesis de la esencia “ser abstracto” es escamotear el problema. Ni Platón -vendido como esclavo en Egina- ni Aristóteles – preceptor de quien sería el hombre más poderoso del mundo- se consideraban ajenos al mundo que los rodeaba al proponer la cuestión de la esencia.</w:t>
      </w:r>
      <w:r w:rsidR="0044773F" w:rsidRPr="0018236D">
        <w:rPr>
          <w:rFonts w:ascii="Bookman Old Style" w:hAnsi="Bookman Old Style" w:cs="Times New Roman"/>
          <w:sz w:val="24"/>
          <w:szCs w:val="24"/>
        </w:rPr>
        <w:t xml:space="preserve"> </w:t>
      </w:r>
    </w:p>
    <w:p w:rsidR="009A2817" w:rsidRPr="0018236D" w:rsidRDefault="00C46ABD" w:rsidP="009766F5">
      <w:pPr>
        <w:spacing w:line="360" w:lineRule="auto"/>
        <w:jc w:val="both"/>
        <w:rPr>
          <w:rFonts w:ascii="Bookman Old Style" w:hAnsi="Bookman Old Style" w:cs="Times New Roman"/>
          <w:sz w:val="24"/>
          <w:szCs w:val="24"/>
        </w:rPr>
      </w:pPr>
      <w:r w:rsidRPr="0018236D">
        <w:rPr>
          <w:rFonts w:ascii="Bookman Old Style" w:hAnsi="Bookman Old Style" w:cs="Times New Roman"/>
          <w:sz w:val="24"/>
          <w:szCs w:val="24"/>
        </w:rPr>
        <w:t xml:space="preserve">Del Noce señala que cuando Marcuse critica a la sociedad opulenta en </w:t>
      </w:r>
      <w:r w:rsidRPr="0018236D">
        <w:rPr>
          <w:rFonts w:ascii="Bookman Old Style" w:hAnsi="Bookman Old Style" w:cs="Times New Roman"/>
          <w:i/>
          <w:sz w:val="24"/>
          <w:szCs w:val="24"/>
        </w:rPr>
        <w:t xml:space="preserve">El hombre unidimensional </w:t>
      </w:r>
      <w:r w:rsidRPr="0018236D">
        <w:rPr>
          <w:rFonts w:ascii="Bookman Old Style" w:hAnsi="Bookman Old Style" w:cs="Times New Roman"/>
          <w:sz w:val="24"/>
          <w:szCs w:val="24"/>
        </w:rPr>
        <w:t>se encuentra forzado a razonar</w:t>
      </w:r>
      <w:r w:rsidRPr="0018236D">
        <w:rPr>
          <w:rFonts w:ascii="Bookman Old Style" w:hAnsi="Bookman Old Style" w:cs="Times New Roman"/>
          <w:i/>
          <w:sz w:val="24"/>
          <w:szCs w:val="24"/>
        </w:rPr>
        <w:t xml:space="preserve"> </w:t>
      </w:r>
      <w:r w:rsidRPr="0018236D">
        <w:rPr>
          <w:rFonts w:ascii="Bookman Old Style" w:hAnsi="Bookman Old Style" w:cs="Times New Roman"/>
          <w:sz w:val="24"/>
          <w:szCs w:val="24"/>
        </w:rPr>
        <w:t>en términos de Metafísica clásica. “</w:t>
      </w:r>
      <w:r w:rsidR="009A2817" w:rsidRPr="0018236D">
        <w:rPr>
          <w:rFonts w:ascii="Bookman Old Style" w:hAnsi="Bookman Old Style" w:cs="Times New Roman"/>
          <w:sz w:val="24"/>
          <w:szCs w:val="24"/>
        </w:rPr>
        <w:t>Lo que dice, por ejemplo, sobre el sentido que se debe dar a la realidad de los universales, a la conexión entre universal y valor, sobre la revaluación del concepto abstracto, tiene el sabor del redescubrimiento del verdadero significado de las tesis que están en el fundamento de la idea de valores permanentes”.</w:t>
      </w:r>
      <w:r w:rsidR="009A2817" w:rsidRPr="0018236D">
        <w:rPr>
          <w:rStyle w:val="Refdenotaalpie"/>
          <w:rFonts w:ascii="Bookman Old Style" w:hAnsi="Bookman Old Style" w:cs="Times New Roman"/>
          <w:sz w:val="24"/>
          <w:szCs w:val="24"/>
        </w:rPr>
        <w:footnoteReference w:id="19"/>
      </w:r>
      <w:r w:rsidRPr="0018236D">
        <w:rPr>
          <w:rFonts w:ascii="Bookman Old Style" w:hAnsi="Bookman Old Style" w:cs="Times New Roman"/>
          <w:i/>
          <w:sz w:val="24"/>
          <w:szCs w:val="24"/>
        </w:rPr>
        <w:t xml:space="preserve"> </w:t>
      </w:r>
      <w:r w:rsidR="009A2817" w:rsidRPr="0018236D">
        <w:rPr>
          <w:rFonts w:ascii="Bookman Old Style" w:hAnsi="Bookman Old Style" w:cs="Times New Roman"/>
          <w:sz w:val="24"/>
          <w:szCs w:val="24"/>
        </w:rPr>
        <w:t>La odiada metafísica reingresa subrepticiamente.</w:t>
      </w:r>
    </w:p>
    <w:p w:rsidR="00216045" w:rsidRPr="0018236D" w:rsidRDefault="0044773F" w:rsidP="00EC2771">
      <w:pPr>
        <w:spacing w:line="360" w:lineRule="auto"/>
        <w:jc w:val="both"/>
        <w:rPr>
          <w:rFonts w:ascii="Bookman Old Style" w:hAnsi="Bookman Old Style" w:cs="Times New Roman"/>
          <w:sz w:val="24"/>
          <w:szCs w:val="24"/>
        </w:rPr>
      </w:pPr>
      <w:r w:rsidRPr="0018236D">
        <w:rPr>
          <w:rFonts w:ascii="Bookman Old Style" w:hAnsi="Bookman Old Style" w:cs="Times New Roman"/>
          <w:sz w:val="24"/>
          <w:szCs w:val="24"/>
        </w:rPr>
        <w:t>La subestimación marxista se corresponde con la primacía dada a la práxis</w:t>
      </w:r>
      <w:r w:rsidR="00052E63" w:rsidRPr="0018236D">
        <w:rPr>
          <w:rFonts w:ascii="Bookman Old Style" w:hAnsi="Bookman Old Style" w:cs="Times New Roman"/>
          <w:sz w:val="24"/>
          <w:szCs w:val="24"/>
        </w:rPr>
        <w:t>,</w:t>
      </w:r>
      <w:r w:rsidRPr="0018236D">
        <w:rPr>
          <w:rFonts w:ascii="Bookman Old Style" w:hAnsi="Bookman Old Style" w:cs="Times New Roman"/>
          <w:sz w:val="24"/>
          <w:szCs w:val="24"/>
        </w:rPr>
        <w:t xml:space="preserve"> que depende, a su vez, de la aceptación del esquema de lo moderno.</w:t>
      </w:r>
      <w:r w:rsidR="0039141A" w:rsidRPr="0018236D">
        <w:rPr>
          <w:rFonts w:ascii="Bookman Old Style" w:hAnsi="Bookman Old Style" w:cs="Times New Roman"/>
          <w:sz w:val="24"/>
          <w:szCs w:val="24"/>
        </w:rPr>
        <w:t xml:space="preserve"> Aquellos grandes autores diferían en el modo de conocer el universal</w:t>
      </w:r>
      <w:r w:rsidR="009A2817" w:rsidRPr="0018236D">
        <w:rPr>
          <w:rFonts w:ascii="Bookman Old Style" w:hAnsi="Bookman Old Style" w:cs="Times New Roman"/>
          <w:sz w:val="24"/>
          <w:szCs w:val="24"/>
        </w:rPr>
        <w:t>,</w:t>
      </w:r>
      <w:r w:rsidR="0039141A" w:rsidRPr="0018236D">
        <w:rPr>
          <w:rFonts w:ascii="Bookman Old Style" w:hAnsi="Bookman Old Style" w:cs="Times New Roman"/>
          <w:sz w:val="24"/>
          <w:szCs w:val="24"/>
        </w:rPr>
        <w:t xml:space="preserve"> no en cuanto a su posibilidad. La adopción tomista de Aristóteles lo formula de una manera concisa y definitiva:</w:t>
      </w:r>
      <w:r w:rsidR="00162BE7" w:rsidRPr="0018236D">
        <w:rPr>
          <w:rFonts w:ascii="Bookman Old Style" w:hAnsi="Bookman Old Style" w:cs="Times New Roman"/>
          <w:sz w:val="24"/>
          <w:szCs w:val="24"/>
        </w:rPr>
        <w:t xml:space="preserve"> </w:t>
      </w:r>
      <w:r w:rsidR="0039141A" w:rsidRPr="0018236D">
        <w:rPr>
          <w:rFonts w:ascii="Bookman Old Style" w:hAnsi="Bookman Old Style" w:cs="Times New Roman"/>
          <w:sz w:val="24"/>
          <w:szCs w:val="24"/>
        </w:rPr>
        <w:t>”Et veritas haec est, quia nihil est in rerum natura praeter singularia existens, sed tantum in consideratione intellectus abstrahentis communia a propriis”</w:t>
      </w:r>
      <w:r w:rsidR="0039141A" w:rsidRPr="0018236D">
        <w:rPr>
          <w:rStyle w:val="Refdenotaalpie"/>
          <w:rFonts w:ascii="Bookman Old Style" w:hAnsi="Bookman Old Style" w:cs="Times New Roman"/>
          <w:sz w:val="24"/>
          <w:szCs w:val="24"/>
        </w:rPr>
        <w:footnoteReference w:id="20"/>
      </w:r>
      <w:r w:rsidR="00572C25" w:rsidRPr="0018236D">
        <w:rPr>
          <w:rFonts w:ascii="Bookman Old Style" w:hAnsi="Bookman Old Style" w:cs="Times New Roman"/>
          <w:sz w:val="24"/>
          <w:szCs w:val="24"/>
        </w:rPr>
        <w:t>.</w:t>
      </w:r>
      <w:r w:rsidR="0033339A" w:rsidRPr="0018236D">
        <w:rPr>
          <w:rFonts w:ascii="Bookman Old Style" w:hAnsi="Bookman Old Style" w:cs="Times New Roman"/>
          <w:sz w:val="24"/>
          <w:szCs w:val="24"/>
        </w:rPr>
        <w:t xml:space="preserve"> Hay un núcleo intelectual dado previamente a cualquier intervención de la razón o de los sentidos que es lo que fecunda la inteligencia</w:t>
      </w:r>
      <w:r w:rsidR="001F18D7" w:rsidRPr="0018236D">
        <w:rPr>
          <w:rStyle w:val="Refdenotaalpie"/>
          <w:rFonts w:ascii="Bookman Old Style" w:hAnsi="Bookman Old Style" w:cs="Times New Roman"/>
          <w:sz w:val="24"/>
          <w:szCs w:val="24"/>
        </w:rPr>
        <w:footnoteReference w:id="21"/>
      </w:r>
      <w:r w:rsidR="0033339A" w:rsidRPr="0018236D">
        <w:rPr>
          <w:rFonts w:ascii="Bookman Old Style" w:hAnsi="Bookman Old Style" w:cs="Times New Roman"/>
          <w:sz w:val="24"/>
          <w:szCs w:val="24"/>
        </w:rPr>
        <w:t xml:space="preserve">. Podemos hablar así de la primacía de la especulación o de una filosofía </w:t>
      </w:r>
      <w:r w:rsidR="0033339A" w:rsidRPr="0018236D">
        <w:rPr>
          <w:rFonts w:ascii="Bookman Old Style" w:hAnsi="Bookman Old Style" w:cs="Times New Roman"/>
          <w:i/>
          <w:sz w:val="24"/>
          <w:szCs w:val="24"/>
        </w:rPr>
        <w:t>post factum</w:t>
      </w:r>
      <w:r w:rsidR="00986392" w:rsidRPr="0018236D">
        <w:rPr>
          <w:rFonts w:ascii="Bookman Old Style" w:hAnsi="Bookman Old Style" w:cs="Times New Roman"/>
          <w:sz w:val="24"/>
          <w:szCs w:val="24"/>
        </w:rPr>
        <w:t>. L</w:t>
      </w:r>
      <w:r w:rsidR="0033339A" w:rsidRPr="0018236D">
        <w:rPr>
          <w:rFonts w:ascii="Bookman Old Style" w:hAnsi="Bookman Old Style" w:cs="Times New Roman"/>
          <w:sz w:val="24"/>
          <w:szCs w:val="24"/>
        </w:rPr>
        <w:t>a doctrina del ocio no vale sólo para Grecia por la vigencia del régimen de esclavitud sino que es válida universalmente por lo dicho antes.</w:t>
      </w:r>
      <w:r w:rsidR="004A4230" w:rsidRPr="0018236D">
        <w:rPr>
          <w:rFonts w:ascii="Bookman Old Style" w:hAnsi="Bookman Old Style" w:cs="Times New Roman"/>
          <w:sz w:val="24"/>
          <w:szCs w:val="24"/>
        </w:rPr>
        <w:t xml:space="preserve"> Es la primacía de la contemplación la que nos eleva sobre el mundo del trabajo y nos acerca a Dios.</w:t>
      </w:r>
      <w:r w:rsidR="00984E3F" w:rsidRPr="0018236D">
        <w:rPr>
          <w:rFonts w:ascii="Bookman Old Style" w:hAnsi="Bookman Old Style" w:cs="Times New Roman"/>
          <w:sz w:val="24"/>
          <w:szCs w:val="24"/>
        </w:rPr>
        <w:t xml:space="preserve"> Podríamos invertir el razonamiento marxista para dejar establecido </w:t>
      </w:r>
      <w:r w:rsidR="00812FD4" w:rsidRPr="0018236D">
        <w:rPr>
          <w:rFonts w:ascii="Bookman Old Style" w:hAnsi="Bookman Old Style" w:cs="Times New Roman"/>
          <w:sz w:val="24"/>
          <w:szCs w:val="24"/>
        </w:rPr>
        <w:t>que la negación del ocio</w:t>
      </w:r>
      <w:r w:rsidR="008559F6" w:rsidRPr="0018236D">
        <w:rPr>
          <w:rFonts w:ascii="Bookman Old Style" w:hAnsi="Bookman Old Style" w:cs="Times New Roman"/>
          <w:sz w:val="24"/>
          <w:szCs w:val="24"/>
        </w:rPr>
        <w:t xml:space="preserve"> conduce al estado totalitario: </w:t>
      </w:r>
      <w:r w:rsidR="00812FD4" w:rsidRPr="0018236D">
        <w:rPr>
          <w:rFonts w:ascii="Bookman Old Style" w:hAnsi="Bookman Old Style" w:cs="Times New Roman"/>
          <w:sz w:val="24"/>
          <w:szCs w:val="24"/>
        </w:rPr>
        <w:t>”Deberíamos comprender que una desintegración  total y definitiva del concepto de “ocio”, un concepto básico de la tradición y el pensamiento occidental, tendría necesariamente una consecuencia histórica evidente; a saber, el estado totalitario del trabajo”.</w:t>
      </w:r>
      <w:r w:rsidR="00812FD4" w:rsidRPr="0018236D">
        <w:rPr>
          <w:rStyle w:val="Refdenotaalpie"/>
          <w:rFonts w:ascii="Bookman Old Style" w:hAnsi="Bookman Old Style" w:cs="Times New Roman"/>
          <w:sz w:val="24"/>
          <w:szCs w:val="24"/>
        </w:rPr>
        <w:footnoteReference w:id="22"/>
      </w:r>
      <w:r w:rsidR="003A5974" w:rsidRPr="0018236D">
        <w:rPr>
          <w:rFonts w:ascii="Bookman Old Style" w:hAnsi="Bookman Old Style" w:cs="Times New Roman"/>
          <w:sz w:val="24"/>
          <w:szCs w:val="24"/>
        </w:rPr>
        <w:t xml:space="preserve"> </w:t>
      </w:r>
      <w:r w:rsidR="00216045" w:rsidRPr="0018236D">
        <w:rPr>
          <w:rFonts w:ascii="Bookman Old Style" w:hAnsi="Bookman Old Style" w:cs="Times New Roman"/>
          <w:sz w:val="24"/>
          <w:szCs w:val="24"/>
        </w:rPr>
        <w:t>Al desaparecer el ocio, la fiesta y el culto</w:t>
      </w:r>
      <w:r w:rsidR="00BF512B" w:rsidRPr="0018236D">
        <w:rPr>
          <w:rFonts w:ascii="Bookman Old Style" w:hAnsi="Bookman Old Style" w:cs="Times New Roman"/>
          <w:sz w:val="24"/>
          <w:szCs w:val="24"/>
        </w:rPr>
        <w:t>,</w:t>
      </w:r>
      <w:r w:rsidR="00216045" w:rsidRPr="0018236D">
        <w:rPr>
          <w:rFonts w:ascii="Bookman Old Style" w:hAnsi="Bookman Old Style" w:cs="Times New Roman"/>
          <w:sz w:val="24"/>
          <w:szCs w:val="24"/>
        </w:rPr>
        <w:t xml:space="preserve"> triunfa la irreligión y es ella misma la que socava al marxismo al eliminar la mística revolucionaria.</w:t>
      </w:r>
      <w:r w:rsidR="003B4D3F" w:rsidRPr="0018236D">
        <w:rPr>
          <w:rFonts w:ascii="Bookman Old Style" w:hAnsi="Bookman Old Style"/>
        </w:rPr>
        <w:t xml:space="preserve"> </w:t>
      </w:r>
      <w:r w:rsidR="003B4D3F" w:rsidRPr="0018236D">
        <w:rPr>
          <w:rFonts w:ascii="Bookman Old Style" w:hAnsi="Bookman Old Style" w:cs="Times New Roman"/>
          <w:sz w:val="24"/>
          <w:szCs w:val="24"/>
        </w:rPr>
        <w:t>Estamos acostumbrados, gracias a Pieper, a vincular ocio, culto y fiesta. Este patrimonio pasa de Grecia a la Europa cristiana sin mayor conflicto contra lo que dicen Tresmontant, Chestov y otros</w:t>
      </w:r>
      <w:r w:rsidR="001F18D7" w:rsidRPr="0018236D">
        <w:rPr>
          <w:rFonts w:ascii="Bookman Old Style" w:hAnsi="Bookman Old Style" w:cs="Times New Roman"/>
          <w:sz w:val="24"/>
          <w:szCs w:val="24"/>
        </w:rPr>
        <w:t>.</w:t>
      </w:r>
      <w:r w:rsidR="003B4D3F" w:rsidRPr="0018236D">
        <w:rPr>
          <w:rStyle w:val="Refdenotaalpie"/>
          <w:rFonts w:ascii="Bookman Old Style" w:hAnsi="Bookman Old Style" w:cs="Times New Roman"/>
          <w:sz w:val="24"/>
          <w:szCs w:val="24"/>
        </w:rPr>
        <w:footnoteReference w:id="23"/>
      </w:r>
    </w:p>
    <w:p w:rsidR="00554E34" w:rsidRPr="0018236D" w:rsidRDefault="009766F5" w:rsidP="009766F5">
      <w:pPr>
        <w:spacing w:line="360" w:lineRule="auto"/>
        <w:jc w:val="both"/>
        <w:rPr>
          <w:rFonts w:ascii="Bookman Old Style" w:hAnsi="Bookman Old Style" w:cs="Times New Roman"/>
          <w:sz w:val="24"/>
          <w:szCs w:val="24"/>
        </w:rPr>
      </w:pPr>
      <w:r w:rsidRPr="0018236D">
        <w:rPr>
          <w:rFonts w:ascii="Bookman Old Style" w:hAnsi="Bookman Old Style" w:cs="Times New Roman"/>
          <w:sz w:val="24"/>
          <w:szCs w:val="24"/>
        </w:rPr>
        <w:t>La sociedad opulenta</w:t>
      </w:r>
      <w:r w:rsidR="005269FE" w:rsidRPr="0018236D">
        <w:rPr>
          <w:rFonts w:ascii="Bookman Old Style" w:hAnsi="Bookman Old Style" w:cs="Times New Roman"/>
          <w:sz w:val="24"/>
          <w:szCs w:val="24"/>
        </w:rPr>
        <w:t xml:space="preserve"> retoma el relativismo inherente al materialismo histórico desprovisto de la revolución y que trae consigo el sociologismo. En términos de del Noce: “</w:t>
      </w:r>
      <w:r w:rsidR="00E90902" w:rsidRPr="0018236D">
        <w:rPr>
          <w:rFonts w:ascii="Bookman Old Style" w:hAnsi="Bookman Old Style" w:cs="Times New Roman"/>
          <w:sz w:val="24"/>
          <w:szCs w:val="24"/>
        </w:rPr>
        <w:t>La debilidad del marxismo respecto a la civilización tecnológica se realiza a través del predominio del aspecto relativístico (ciencia social)</w:t>
      </w:r>
      <w:r w:rsidR="006F1984" w:rsidRPr="0018236D">
        <w:rPr>
          <w:rStyle w:val="Refdenotaalpie"/>
          <w:rFonts w:ascii="Bookman Old Style" w:hAnsi="Bookman Old Style" w:cs="Times New Roman"/>
          <w:sz w:val="24"/>
          <w:szCs w:val="24"/>
        </w:rPr>
        <w:footnoteReference w:id="24"/>
      </w:r>
      <w:r w:rsidR="00E90902" w:rsidRPr="0018236D">
        <w:rPr>
          <w:rFonts w:ascii="Bookman Old Style" w:hAnsi="Bookman Old Style" w:cs="Times New Roman"/>
          <w:sz w:val="24"/>
          <w:szCs w:val="24"/>
        </w:rPr>
        <w:t xml:space="preserve"> sobre el dogmático (materialismo dialéctico)</w:t>
      </w:r>
      <w:r w:rsidR="005269FE" w:rsidRPr="0018236D">
        <w:rPr>
          <w:rFonts w:ascii="Bookman Old Style" w:hAnsi="Bookman Old Style" w:cs="Times New Roman"/>
          <w:sz w:val="24"/>
          <w:szCs w:val="24"/>
        </w:rPr>
        <w:t>”</w:t>
      </w:r>
      <w:r w:rsidR="00C15E13" w:rsidRPr="0018236D">
        <w:rPr>
          <w:rStyle w:val="Refdenotaalpie"/>
          <w:rFonts w:ascii="Bookman Old Style" w:hAnsi="Bookman Old Style" w:cs="Times New Roman"/>
          <w:sz w:val="24"/>
          <w:szCs w:val="24"/>
        </w:rPr>
        <w:footnoteReference w:id="25"/>
      </w:r>
      <w:r w:rsidR="00E90902" w:rsidRPr="0018236D">
        <w:rPr>
          <w:rFonts w:ascii="Bookman Old Style" w:hAnsi="Bookman Old Style" w:cs="Times New Roman"/>
          <w:sz w:val="24"/>
          <w:szCs w:val="24"/>
        </w:rPr>
        <w:t xml:space="preserve">. </w:t>
      </w:r>
      <w:r w:rsidR="005269FE" w:rsidRPr="0018236D">
        <w:rPr>
          <w:rFonts w:ascii="Bookman Old Style" w:hAnsi="Bookman Old Style" w:cs="Times New Roman"/>
          <w:sz w:val="24"/>
          <w:szCs w:val="24"/>
        </w:rPr>
        <w:t>La pretendida superación del momento religioso del marxismo (su ateísmo) desemboca en la desaparición de todo aspecto religioso, es decir, en la desaparición de lo sacro. En el s. XIX Rosmini denunció a los Ideólogos que difundían la impiedad. No es casual</w:t>
      </w:r>
      <w:r w:rsidR="00362DEF" w:rsidRPr="0018236D">
        <w:rPr>
          <w:rFonts w:ascii="Bookman Old Style" w:hAnsi="Bookman Old Style" w:cs="Times New Roman"/>
          <w:sz w:val="24"/>
          <w:szCs w:val="24"/>
        </w:rPr>
        <w:t>idad entonces</w:t>
      </w:r>
      <w:r w:rsidR="005269FE" w:rsidRPr="0018236D">
        <w:rPr>
          <w:rFonts w:ascii="Bookman Old Style" w:hAnsi="Bookman Old Style" w:cs="Times New Roman"/>
          <w:sz w:val="24"/>
          <w:szCs w:val="24"/>
        </w:rPr>
        <w:t xml:space="preserve"> que hoy la sociedad opulenta</w:t>
      </w:r>
      <w:r w:rsidR="00362DEF" w:rsidRPr="0018236D">
        <w:rPr>
          <w:rFonts w:ascii="Bookman Old Style" w:hAnsi="Bookman Old Style" w:cs="Times New Roman"/>
          <w:sz w:val="24"/>
          <w:szCs w:val="24"/>
        </w:rPr>
        <w:t xml:space="preserve"> se fundamente en las modernas ciencias del hombre (Sociología, psicología, historia, linguística) para anular cualquier planteo sobre lo sacro, la metafísica, la primacía de la contemplación o del ocio.</w:t>
      </w:r>
      <w:r w:rsidR="005269FE" w:rsidRPr="0018236D">
        <w:rPr>
          <w:rFonts w:ascii="Bookman Old Style" w:hAnsi="Bookman Old Style" w:cs="Times New Roman"/>
          <w:sz w:val="24"/>
          <w:szCs w:val="24"/>
        </w:rPr>
        <w:t xml:space="preserve"> </w:t>
      </w:r>
    </w:p>
    <w:p w:rsidR="00D7079F" w:rsidRPr="0018236D" w:rsidRDefault="00D7079F" w:rsidP="009766F5">
      <w:pPr>
        <w:spacing w:line="360" w:lineRule="auto"/>
        <w:jc w:val="both"/>
        <w:rPr>
          <w:rFonts w:ascii="Bookman Old Style" w:hAnsi="Bookman Old Style" w:cs="Times New Roman"/>
          <w:sz w:val="24"/>
          <w:szCs w:val="24"/>
        </w:rPr>
      </w:pPr>
      <w:r w:rsidRPr="0018236D">
        <w:rPr>
          <w:rFonts w:ascii="Bookman Old Style" w:hAnsi="Bookman Old Style" w:cs="Times New Roman"/>
          <w:sz w:val="24"/>
          <w:szCs w:val="24"/>
        </w:rPr>
        <w:t>Podemos mostrar la diseminación del marxismo como relativismo en tres dimensiones distintas: a)</w:t>
      </w:r>
      <w:r w:rsidR="0043369E" w:rsidRPr="0018236D">
        <w:rPr>
          <w:rFonts w:ascii="Bookman Old Style" w:hAnsi="Bookman Old Style" w:cs="Times New Roman"/>
          <w:sz w:val="24"/>
          <w:szCs w:val="24"/>
        </w:rPr>
        <w:t xml:space="preserve"> Incapacidad de diferenciar medios y fines. b) Relativismo generado por la “Revolución en el sentido de la historia”. c) Relativismo absoluto del sociologismo.</w:t>
      </w:r>
    </w:p>
    <w:p w:rsidR="002C6A7A" w:rsidRPr="0018236D" w:rsidRDefault="002C6A7A" w:rsidP="002C6A7A">
      <w:pPr>
        <w:pStyle w:val="Prrafodelista"/>
        <w:numPr>
          <w:ilvl w:val="0"/>
          <w:numId w:val="4"/>
        </w:numPr>
        <w:spacing w:line="360" w:lineRule="auto"/>
        <w:jc w:val="both"/>
        <w:rPr>
          <w:rFonts w:ascii="Bookman Old Style" w:hAnsi="Bookman Old Style" w:cs="Times New Roman"/>
          <w:sz w:val="24"/>
          <w:szCs w:val="24"/>
        </w:rPr>
      </w:pPr>
      <w:r w:rsidRPr="0018236D">
        <w:rPr>
          <w:rFonts w:ascii="Bookman Old Style" w:hAnsi="Bookman Old Style" w:cs="Times New Roman"/>
          <w:sz w:val="24"/>
          <w:szCs w:val="24"/>
        </w:rPr>
        <w:t>En cuanto a la cuestión de los medios y los fines un lugar clásico para este tratamiento es la crítica de la razón instrumental de Max Horkheimer</w:t>
      </w:r>
      <w:r w:rsidR="003254A5" w:rsidRPr="0018236D">
        <w:rPr>
          <w:rStyle w:val="Refdenotaalpie"/>
          <w:rFonts w:ascii="Bookman Old Style" w:hAnsi="Bookman Old Style" w:cs="Times New Roman"/>
          <w:sz w:val="24"/>
          <w:szCs w:val="24"/>
        </w:rPr>
        <w:footnoteReference w:id="26"/>
      </w:r>
      <w:r w:rsidRPr="0018236D">
        <w:rPr>
          <w:rFonts w:ascii="Bookman Old Style" w:hAnsi="Bookman Old Style" w:cs="Times New Roman"/>
          <w:sz w:val="24"/>
          <w:szCs w:val="24"/>
        </w:rPr>
        <w:t xml:space="preserve">. </w:t>
      </w:r>
      <w:r w:rsidR="003254A5" w:rsidRPr="0018236D">
        <w:rPr>
          <w:rFonts w:ascii="Bookman Old Style" w:hAnsi="Bookman Old Style" w:cs="Times New Roman"/>
          <w:sz w:val="24"/>
          <w:szCs w:val="24"/>
        </w:rPr>
        <w:t>En la civilización industrial l</w:t>
      </w:r>
      <w:r w:rsidRPr="0018236D">
        <w:rPr>
          <w:rFonts w:ascii="Bookman Old Style" w:hAnsi="Bookman Old Style" w:cs="Times New Roman"/>
          <w:sz w:val="24"/>
          <w:szCs w:val="24"/>
        </w:rPr>
        <w:t>a distinción entre razón objetiva, que define los fines últimos y universales, y razón subjetiva o instrumental</w:t>
      </w:r>
      <w:r w:rsidR="003254A5" w:rsidRPr="0018236D">
        <w:rPr>
          <w:rFonts w:ascii="Bookman Old Style" w:hAnsi="Bookman Old Style" w:cs="Times New Roman"/>
          <w:sz w:val="24"/>
          <w:szCs w:val="24"/>
        </w:rPr>
        <w:t xml:space="preserve"> que sólo puede establecer relaciones entre fines y medios, cede a favor de esta última. De aquí surge el relativismo: “Pura supresión de la ética a favor de la economía, y con ello el triunfo más completo del espíritu burgués” (Loc. cit.).</w:t>
      </w:r>
      <w:r w:rsidR="00C15E13" w:rsidRPr="0018236D">
        <w:rPr>
          <w:rFonts w:ascii="Bookman Old Style" w:hAnsi="Bookman Old Style" w:cs="Times New Roman"/>
          <w:sz w:val="24"/>
          <w:szCs w:val="24"/>
        </w:rPr>
        <w:t xml:space="preserve"> </w:t>
      </w:r>
      <w:r w:rsidR="00F167F6" w:rsidRPr="0018236D">
        <w:rPr>
          <w:rFonts w:ascii="Bookman Old Style" w:hAnsi="Bookman Old Style" w:cs="Times New Roman"/>
          <w:sz w:val="24"/>
          <w:szCs w:val="24"/>
        </w:rPr>
        <w:t>En Marx quedaba algún resto de absoluto al postular la sociedad sin clases y un adveniente “reino de la libertad” pero en la visión instrumentalística o sociologística no puede admitirse ningún valor absoluto</w:t>
      </w:r>
      <w:r w:rsidR="007E23DD" w:rsidRPr="0018236D">
        <w:rPr>
          <w:rFonts w:ascii="Bookman Old Style" w:hAnsi="Bookman Old Style" w:cs="Times New Roman"/>
          <w:sz w:val="24"/>
          <w:szCs w:val="24"/>
        </w:rPr>
        <w:t>.</w:t>
      </w:r>
    </w:p>
    <w:p w:rsidR="00BF512B" w:rsidRPr="0018236D" w:rsidRDefault="00BF512B" w:rsidP="00BF512B">
      <w:pPr>
        <w:pStyle w:val="Prrafodelista"/>
        <w:spacing w:line="360" w:lineRule="auto"/>
        <w:ind w:left="360"/>
        <w:jc w:val="both"/>
        <w:rPr>
          <w:rFonts w:ascii="Bookman Old Style" w:hAnsi="Bookman Old Style" w:cs="Times New Roman"/>
          <w:sz w:val="24"/>
          <w:szCs w:val="24"/>
        </w:rPr>
      </w:pPr>
      <w:r w:rsidRPr="0018236D">
        <w:rPr>
          <w:rFonts w:ascii="Bookman Old Style" w:hAnsi="Bookman Old Style" w:cs="Times New Roman"/>
          <w:sz w:val="24"/>
          <w:szCs w:val="24"/>
        </w:rPr>
        <w:t>También Eric Voegelin señala esta confusión, particularmente en Engels</w:t>
      </w:r>
      <w:r w:rsidR="00A452E5" w:rsidRPr="0018236D">
        <w:rPr>
          <w:rFonts w:ascii="Bookman Old Style" w:hAnsi="Bookman Old Style" w:cs="Times New Roman"/>
          <w:sz w:val="24"/>
          <w:szCs w:val="24"/>
        </w:rPr>
        <w:t>.</w:t>
      </w:r>
      <w:r w:rsidRPr="0018236D">
        <w:rPr>
          <w:rFonts w:ascii="Bookman Old Style" w:hAnsi="Bookman Old Style" w:cs="Times New Roman"/>
          <w:sz w:val="24"/>
          <w:szCs w:val="24"/>
        </w:rPr>
        <w:t xml:space="preserve"> Si la libertad de la voluntad no significa otra cosa</w:t>
      </w:r>
      <w:r w:rsidR="002B4A0A" w:rsidRPr="0018236D">
        <w:rPr>
          <w:rFonts w:ascii="Bookman Old Style" w:hAnsi="Bookman Old Style" w:cs="Times New Roman"/>
          <w:sz w:val="24"/>
          <w:szCs w:val="24"/>
        </w:rPr>
        <w:t xml:space="preserve"> que la habilidad de tomar decisiones basado en una conocimiento experto (Engels) entonces “Esta fórmula reduciría el </w:t>
      </w:r>
      <w:r w:rsidR="002B4A0A" w:rsidRPr="0018236D">
        <w:rPr>
          <w:rFonts w:ascii="Bookman Old Style" w:hAnsi="Bookman Old Style" w:cs="Times New Roman"/>
          <w:i/>
          <w:sz w:val="24"/>
          <w:szCs w:val="24"/>
        </w:rPr>
        <w:t>logos</w:t>
      </w:r>
      <w:r w:rsidR="002B4A0A" w:rsidRPr="0018236D">
        <w:rPr>
          <w:rFonts w:ascii="Bookman Old Style" w:hAnsi="Bookman Old Style" w:cs="Times New Roman"/>
          <w:sz w:val="24"/>
          <w:szCs w:val="24"/>
        </w:rPr>
        <w:t xml:space="preserve"> a la racionalidad de la relación medios-fin y dejaría abierta la cuestión de la razón substantiva, de los fines en sí mismos”.</w:t>
      </w:r>
      <w:r w:rsidR="002B4A0A" w:rsidRPr="0018236D">
        <w:rPr>
          <w:rStyle w:val="Refdenotaalpie"/>
          <w:rFonts w:ascii="Bookman Old Style" w:hAnsi="Bookman Old Style" w:cs="Times New Roman"/>
          <w:sz w:val="24"/>
          <w:szCs w:val="24"/>
        </w:rPr>
        <w:footnoteReference w:id="27"/>
      </w:r>
      <w:r w:rsidRPr="0018236D">
        <w:rPr>
          <w:rFonts w:ascii="Bookman Old Style" w:hAnsi="Bookman Old Style" w:cs="Times New Roman"/>
          <w:sz w:val="24"/>
          <w:szCs w:val="24"/>
        </w:rPr>
        <w:t xml:space="preserve"> </w:t>
      </w:r>
      <w:r w:rsidR="002B4A0A" w:rsidRPr="0018236D">
        <w:rPr>
          <w:rFonts w:ascii="Bookman Old Style" w:hAnsi="Bookman Old Style" w:cs="Times New Roman"/>
          <w:sz w:val="24"/>
          <w:szCs w:val="24"/>
        </w:rPr>
        <w:t>Más adelante</w:t>
      </w:r>
      <w:r w:rsidR="00C00C9D" w:rsidRPr="0018236D">
        <w:rPr>
          <w:rFonts w:ascii="Bookman Old Style" w:hAnsi="Bookman Old Style" w:cs="Times New Roman"/>
          <w:sz w:val="24"/>
          <w:szCs w:val="24"/>
        </w:rPr>
        <w:t xml:space="preserve"> comenta Voegelin:”La encarnació</w:t>
      </w:r>
      <w:r w:rsidR="002B4A0A" w:rsidRPr="0018236D">
        <w:rPr>
          <w:rFonts w:ascii="Bookman Old Style" w:hAnsi="Bookman Old Style" w:cs="Times New Roman"/>
          <w:sz w:val="24"/>
          <w:szCs w:val="24"/>
        </w:rPr>
        <w:t xml:space="preserve">n del </w:t>
      </w:r>
      <w:r w:rsidR="002B4A0A" w:rsidRPr="0018236D">
        <w:rPr>
          <w:rFonts w:ascii="Bookman Old Style" w:hAnsi="Bookman Old Style" w:cs="Times New Roman"/>
          <w:i/>
          <w:sz w:val="24"/>
          <w:szCs w:val="24"/>
        </w:rPr>
        <w:t>logos</w:t>
      </w:r>
      <w:r w:rsidR="002B4A0A" w:rsidRPr="0018236D">
        <w:rPr>
          <w:rFonts w:ascii="Bookman Old Style" w:hAnsi="Bookman Old Style" w:cs="Times New Roman"/>
          <w:sz w:val="24"/>
          <w:szCs w:val="24"/>
        </w:rPr>
        <w:t xml:space="preserve"> </w:t>
      </w:r>
      <w:r w:rsidR="00E977F9" w:rsidRPr="0018236D">
        <w:rPr>
          <w:rFonts w:ascii="Bookman Old Style" w:hAnsi="Bookman Old Style" w:cs="Times New Roman"/>
          <w:sz w:val="24"/>
          <w:szCs w:val="24"/>
        </w:rPr>
        <w:t xml:space="preserve">ha </w:t>
      </w:r>
      <w:r w:rsidR="002B4A0A" w:rsidRPr="0018236D">
        <w:rPr>
          <w:rFonts w:ascii="Bookman Old Style" w:hAnsi="Bookman Old Style" w:cs="Times New Roman"/>
          <w:sz w:val="24"/>
          <w:szCs w:val="24"/>
        </w:rPr>
        <w:t>lleg</w:t>
      </w:r>
      <w:r w:rsidR="00E977F9" w:rsidRPr="0018236D">
        <w:rPr>
          <w:rFonts w:ascii="Bookman Old Style" w:hAnsi="Bookman Old Style" w:cs="Times New Roman"/>
          <w:sz w:val="24"/>
          <w:szCs w:val="24"/>
        </w:rPr>
        <w:t>ado</w:t>
      </w:r>
      <w:r w:rsidR="002B4A0A" w:rsidRPr="0018236D">
        <w:rPr>
          <w:rFonts w:ascii="Bookman Old Style" w:hAnsi="Bookman Old Style" w:cs="Times New Roman"/>
          <w:sz w:val="24"/>
          <w:szCs w:val="24"/>
        </w:rPr>
        <w:t xml:space="preserve"> a ser el progreso del conocimiento pragmático al punto que ha absorbido dentro del sistema y disuelto el misterio de la existencia humana. Cristo Redentor es reemplazado por la máquina</w:t>
      </w:r>
      <w:r w:rsidR="00E977F9" w:rsidRPr="0018236D">
        <w:rPr>
          <w:rFonts w:ascii="Bookman Old Style" w:hAnsi="Bookman Old Style" w:cs="Times New Roman"/>
          <w:sz w:val="24"/>
          <w:szCs w:val="24"/>
        </w:rPr>
        <w:t xml:space="preserve"> a vapor como la promesa del reino por venir</w:t>
      </w:r>
      <w:r w:rsidR="00C00C9D" w:rsidRPr="0018236D">
        <w:rPr>
          <w:rFonts w:ascii="Bookman Old Style" w:hAnsi="Bookman Old Style" w:cs="Times New Roman"/>
          <w:sz w:val="24"/>
          <w:szCs w:val="24"/>
        </w:rPr>
        <w:t>”</w:t>
      </w:r>
      <w:r w:rsidR="0018236D" w:rsidRPr="0018236D">
        <w:rPr>
          <w:rStyle w:val="Refdenotaalpie"/>
          <w:rFonts w:ascii="Bookman Old Style" w:hAnsi="Bookman Old Style" w:cs="Times New Roman"/>
          <w:sz w:val="24"/>
          <w:szCs w:val="24"/>
        </w:rPr>
        <w:footnoteReference w:id="28"/>
      </w:r>
      <w:r w:rsidR="00A452E5" w:rsidRPr="0018236D">
        <w:rPr>
          <w:rFonts w:ascii="Bookman Old Style" w:hAnsi="Bookman Old Style" w:cs="Times New Roman"/>
          <w:sz w:val="24"/>
          <w:szCs w:val="24"/>
        </w:rPr>
        <w:t xml:space="preserve"> </w:t>
      </w:r>
    </w:p>
    <w:p w:rsidR="00C15E13" w:rsidRPr="0018236D" w:rsidRDefault="00C15E13" w:rsidP="00C15E13">
      <w:pPr>
        <w:spacing w:line="360" w:lineRule="auto"/>
        <w:ind w:left="360"/>
        <w:jc w:val="both"/>
        <w:rPr>
          <w:rFonts w:ascii="Bookman Old Style" w:hAnsi="Bookman Old Style" w:cs="Times New Roman"/>
          <w:sz w:val="24"/>
          <w:szCs w:val="24"/>
        </w:rPr>
      </w:pPr>
      <w:r w:rsidRPr="0018236D">
        <w:rPr>
          <w:rFonts w:ascii="Bookman Old Style" w:hAnsi="Bookman Old Style" w:cs="Times New Roman"/>
          <w:sz w:val="24"/>
          <w:szCs w:val="24"/>
        </w:rPr>
        <w:t>b)</w:t>
      </w:r>
      <w:r w:rsidR="00F167F6" w:rsidRPr="0018236D">
        <w:rPr>
          <w:rFonts w:ascii="Bookman Old Style" w:hAnsi="Bookman Old Style" w:cs="Times New Roman"/>
          <w:sz w:val="24"/>
          <w:szCs w:val="24"/>
        </w:rPr>
        <w:t xml:space="preserve"> En cuanto a la revolución </w:t>
      </w:r>
      <w:r w:rsidR="007E23DD" w:rsidRPr="0018236D">
        <w:rPr>
          <w:rFonts w:ascii="Bookman Old Style" w:hAnsi="Bookman Old Style" w:cs="Times New Roman"/>
          <w:sz w:val="24"/>
          <w:szCs w:val="24"/>
        </w:rPr>
        <w:t>“</w:t>
      </w:r>
      <w:r w:rsidR="00F167F6" w:rsidRPr="0018236D">
        <w:rPr>
          <w:rFonts w:ascii="Bookman Old Style" w:hAnsi="Bookman Old Style" w:cs="Times New Roman"/>
          <w:sz w:val="24"/>
          <w:szCs w:val="24"/>
        </w:rPr>
        <w:t>en el sentido de la historia</w:t>
      </w:r>
      <w:r w:rsidR="007E23DD" w:rsidRPr="0018236D">
        <w:rPr>
          <w:rFonts w:ascii="Bookman Old Style" w:hAnsi="Bookman Old Style" w:cs="Times New Roman"/>
          <w:sz w:val="24"/>
          <w:szCs w:val="24"/>
        </w:rPr>
        <w:t>” hay que señalar su origen lejano en la Filosofía hegeliana que explica y normaliza dialécticamente lo ya sucedido. La historia del mundo es considerada a la vez como juicio del mundo (Weltgeschichte als Weltgericht) sin que haya que esperar a un Juicio final divino. La historia, guiada por la astucia de la razón inmanente, logra sus metas sirviéndose de l</w:t>
      </w:r>
      <w:r w:rsidR="00B54E01" w:rsidRPr="0018236D">
        <w:rPr>
          <w:rFonts w:ascii="Bookman Old Style" w:hAnsi="Bookman Old Style" w:cs="Times New Roman"/>
          <w:sz w:val="24"/>
          <w:szCs w:val="24"/>
        </w:rPr>
        <w:t>os individuos. La expectativa</w:t>
      </w:r>
      <w:r w:rsidR="007E23DD" w:rsidRPr="0018236D">
        <w:rPr>
          <w:rFonts w:ascii="Bookman Old Style" w:hAnsi="Bookman Old Style" w:cs="Times New Roman"/>
          <w:sz w:val="24"/>
          <w:szCs w:val="24"/>
        </w:rPr>
        <w:t xml:space="preserve"> marxista de modificar radicalmente la humanidad no puede cumplirse debido a que se trata de una “revolución normalizada”</w:t>
      </w:r>
      <w:r w:rsidR="007E23DD" w:rsidRPr="0018236D">
        <w:rPr>
          <w:rStyle w:val="Refdenotaalpie"/>
          <w:rFonts w:ascii="Bookman Old Style" w:hAnsi="Bookman Old Style" w:cs="Times New Roman"/>
          <w:sz w:val="24"/>
          <w:szCs w:val="24"/>
        </w:rPr>
        <w:footnoteReference w:id="29"/>
      </w:r>
      <w:r w:rsidR="009A14B3" w:rsidRPr="0018236D">
        <w:rPr>
          <w:rFonts w:ascii="Bookman Old Style" w:hAnsi="Bookman Old Style" w:cs="Times New Roman"/>
          <w:sz w:val="24"/>
          <w:szCs w:val="24"/>
        </w:rPr>
        <w:t xml:space="preserve">. </w:t>
      </w:r>
      <w:r w:rsidR="00B54E01" w:rsidRPr="0018236D">
        <w:rPr>
          <w:rFonts w:ascii="Bookman Old Style" w:hAnsi="Bookman Old Style" w:cs="Times New Roman"/>
          <w:sz w:val="24"/>
          <w:szCs w:val="24"/>
        </w:rPr>
        <w:t>La revolución marxista no depende de la moral</w:t>
      </w:r>
      <w:r w:rsidR="00537AC9" w:rsidRPr="0018236D">
        <w:rPr>
          <w:rFonts w:ascii="Bookman Old Style" w:hAnsi="Bookman Old Style" w:cs="Times New Roman"/>
          <w:sz w:val="24"/>
          <w:szCs w:val="24"/>
        </w:rPr>
        <w:t xml:space="preserve"> ni de la justicia</w:t>
      </w:r>
      <w:r w:rsidR="00B54E01" w:rsidRPr="0018236D">
        <w:rPr>
          <w:rFonts w:ascii="Bookman Old Style" w:hAnsi="Bookman Old Style" w:cs="Times New Roman"/>
          <w:sz w:val="24"/>
          <w:szCs w:val="24"/>
        </w:rPr>
        <w:t xml:space="preserve"> sino de leyes históricas. Marx se distancia de Proudhon</w:t>
      </w:r>
      <w:r w:rsidR="00315F2E" w:rsidRPr="0018236D">
        <w:rPr>
          <w:rStyle w:val="Refdenotaalpie"/>
          <w:rFonts w:ascii="Bookman Old Style" w:hAnsi="Bookman Old Style" w:cs="Times New Roman"/>
          <w:sz w:val="24"/>
          <w:szCs w:val="24"/>
        </w:rPr>
        <w:footnoteReference w:id="30"/>
      </w:r>
      <w:r w:rsidR="00B54E01" w:rsidRPr="0018236D">
        <w:rPr>
          <w:rFonts w:ascii="Bookman Old Style" w:hAnsi="Bookman Old Style" w:cs="Times New Roman"/>
          <w:sz w:val="24"/>
          <w:szCs w:val="24"/>
        </w:rPr>
        <w:t xml:space="preserve"> y del socialismo utópico . </w:t>
      </w:r>
      <w:r w:rsidR="009A14B3" w:rsidRPr="0018236D">
        <w:rPr>
          <w:rFonts w:ascii="Bookman Old Style" w:hAnsi="Bookman Old Style" w:cs="Times New Roman"/>
          <w:sz w:val="24"/>
          <w:szCs w:val="24"/>
        </w:rPr>
        <w:t xml:space="preserve">Hay una cierta “automaticidad” de la revolución </w:t>
      </w:r>
      <w:r w:rsidR="00276967" w:rsidRPr="0018236D">
        <w:rPr>
          <w:rFonts w:ascii="Bookman Old Style" w:hAnsi="Bookman Old Style" w:cs="Times New Roman"/>
          <w:sz w:val="24"/>
          <w:szCs w:val="24"/>
        </w:rPr>
        <w:t xml:space="preserve">que </w:t>
      </w:r>
      <w:r w:rsidR="009A14B3" w:rsidRPr="0018236D">
        <w:rPr>
          <w:rFonts w:ascii="Bookman Old Style" w:hAnsi="Bookman Old Style" w:cs="Times New Roman"/>
          <w:sz w:val="24"/>
          <w:szCs w:val="24"/>
        </w:rPr>
        <w:t>es la que da la garantía del éxito</w:t>
      </w:r>
      <w:r w:rsidR="00B54E01" w:rsidRPr="0018236D">
        <w:rPr>
          <w:rStyle w:val="Refdenotaalpie"/>
          <w:rFonts w:ascii="Bookman Old Style" w:hAnsi="Bookman Old Style" w:cs="Times New Roman"/>
          <w:sz w:val="24"/>
          <w:szCs w:val="24"/>
        </w:rPr>
        <w:footnoteReference w:id="31"/>
      </w:r>
      <w:r w:rsidR="009A14B3" w:rsidRPr="0018236D">
        <w:rPr>
          <w:rFonts w:ascii="Bookman Old Style" w:hAnsi="Bookman Old Style" w:cs="Times New Roman"/>
          <w:sz w:val="24"/>
          <w:szCs w:val="24"/>
        </w:rPr>
        <w:t>. “Convertida en fruto de esta dialéctica histórica, la revolución no puede menos que ser traicionada” (Op. cit., p. 126). Komar daba los ejemplos de Stalin</w:t>
      </w:r>
      <w:r w:rsidR="00537AC9" w:rsidRPr="0018236D">
        <w:rPr>
          <w:rStyle w:val="Refdenotaalpie"/>
          <w:rFonts w:ascii="Bookman Old Style" w:hAnsi="Bookman Old Style" w:cs="Times New Roman"/>
          <w:sz w:val="24"/>
          <w:szCs w:val="24"/>
        </w:rPr>
        <w:footnoteReference w:id="32"/>
      </w:r>
      <w:r w:rsidR="009A14B3" w:rsidRPr="0018236D">
        <w:rPr>
          <w:rFonts w:ascii="Bookman Old Style" w:hAnsi="Bookman Old Style" w:cs="Times New Roman"/>
          <w:sz w:val="24"/>
          <w:szCs w:val="24"/>
        </w:rPr>
        <w:t xml:space="preserve"> y Trotsky, Hi</w:t>
      </w:r>
      <w:r w:rsidR="00C00C9D" w:rsidRPr="0018236D">
        <w:rPr>
          <w:rFonts w:ascii="Bookman Old Style" w:hAnsi="Bookman Old Style" w:cs="Times New Roman"/>
          <w:sz w:val="24"/>
          <w:szCs w:val="24"/>
        </w:rPr>
        <w:t>tler y Rö</w:t>
      </w:r>
      <w:r w:rsidR="009866D0" w:rsidRPr="0018236D">
        <w:rPr>
          <w:rFonts w:ascii="Bookman Old Style" w:hAnsi="Bookman Old Style" w:cs="Times New Roman"/>
          <w:sz w:val="24"/>
          <w:szCs w:val="24"/>
        </w:rPr>
        <w:t>hm</w:t>
      </w:r>
      <w:r w:rsidR="00C00C9D" w:rsidRPr="0018236D">
        <w:rPr>
          <w:rStyle w:val="Refdenotaalpie"/>
          <w:rFonts w:ascii="Bookman Old Style" w:hAnsi="Bookman Old Style" w:cs="Times New Roman"/>
          <w:sz w:val="24"/>
          <w:szCs w:val="24"/>
        </w:rPr>
        <w:footnoteReference w:id="33"/>
      </w:r>
      <w:r w:rsidR="009866D0" w:rsidRPr="0018236D">
        <w:rPr>
          <w:rFonts w:ascii="Bookman Old Style" w:hAnsi="Bookman Old Style" w:cs="Times New Roman"/>
          <w:sz w:val="24"/>
          <w:szCs w:val="24"/>
        </w:rPr>
        <w:t>, Mussolini</w:t>
      </w:r>
      <w:r w:rsidR="007C7098" w:rsidRPr="0018236D">
        <w:rPr>
          <w:rStyle w:val="Refdenotaalpie"/>
          <w:rFonts w:ascii="Bookman Old Style" w:hAnsi="Bookman Old Style" w:cs="Times New Roman"/>
          <w:sz w:val="24"/>
          <w:szCs w:val="24"/>
        </w:rPr>
        <w:footnoteReference w:id="34"/>
      </w:r>
      <w:r w:rsidR="009866D0" w:rsidRPr="0018236D">
        <w:rPr>
          <w:rFonts w:ascii="Bookman Old Style" w:hAnsi="Bookman Old Style" w:cs="Times New Roman"/>
          <w:sz w:val="24"/>
          <w:szCs w:val="24"/>
        </w:rPr>
        <w:t xml:space="preserve"> y Farinacci</w:t>
      </w:r>
      <w:r w:rsidR="009A14B3" w:rsidRPr="0018236D">
        <w:rPr>
          <w:rFonts w:ascii="Bookman Old Style" w:hAnsi="Bookman Old Style" w:cs="Times New Roman"/>
          <w:sz w:val="24"/>
          <w:szCs w:val="24"/>
        </w:rPr>
        <w:t>, Castro y Guevara. Para poder prosperar la revolución debe cesar y atenerse a la realidad prosaica y estable.</w:t>
      </w:r>
      <w:r w:rsidR="00903955" w:rsidRPr="0018236D">
        <w:rPr>
          <w:rFonts w:ascii="Bookman Old Style" w:hAnsi="Bookman Old Style" w:cs="Times New Roman"/>
          <w:sz w:val="24"/>
          <w:szCs w:val="24"/>
        </w:rPr>
        <w:t xml:space="preserve"> El elemento gnóstico desaparece.</w:t>
      </w:r>
    </w:p>
    <w:p w:rsidR="009A14B3" w:rsidRPr="0018236D" w:rsidRDefault="009A14B3" w:rsidP="00C15E13">
      <w:pPr>
        <w:spacing w:line="360" w:lineRule="auto"/>
        <w:ind w:left="360"/>
        <w:jc w:val="both"/>
        <w:rPr>
          <w:rFonts w:ascii="Bookman Old Style" w:hAnsi="Bookman Old Style" w:cs="Times New Roman"/>
          <w:sz w:val="24"/>
          <w:szCs w:val="24"/>
        </w:rPr>
      </w:pPr>
      <w:r w:rsidRPr="0018236D">
        <w:rPr>
          <w:rFonts w:ascii="Bookman Old Style" w:hAnsi="Bookman Old Style" w:cs="Times New Roman"/>
          <w:sz w:val="24"/>
          <w:szCs w:val="24"/>
        </w:rPr>
        <w:t>La automaticidad de origen</w:t>
      </w:r>
      <w:r w:rsidR="00B54E01" w:rsidRPr="0018236D">
        <w:rPr>
          <w:rFonts w:ascii="Bookman Old Style" w:hAnsi="Bookman Old Style" w:cs="Times New Roman"/>
          <w:sz w:val="24"/>
          <w:szCs w:val="24"/>
        </w:rPr>
        <w:t xml:space="preserve"> -con la desaparición de toda espontaneidad y revuelta-</w:t>
      </w:r>
      <w:r w:rsidRPr="0018236D">
        <w:rPr>
          <w:rFonts w:ascii="Bookman Old Style" w:hAnsi="Bookman Old Style" w:cs="Times New Roman"/>
          <w:sz w:val="24"/>
          <w:szCs w:val="24"/>
        </w:rPr>
        <w:t xml:space="preserve"> y la traición de destino marcan rasgos muy fuertes de pragmatismo que coinciden con los de la sociedad opulenta.</w:t>
      </w:r>
    </w:p>
    <w:p w:rsidR="009A14B3" w:rsidRPr="0018236D" w:rsidRDefault="009A14B3" w:rsidP="00531277">
      <w:pPr>
        <w:spacing w:line="360" w:lineRule="auto"/>
        <w:ind w:left="360"/>
        <w:jc w:val="both"/>
        <w:rPr>
          <w:rFonts w:ascii="Bookman Old Style" w:hAnsi="Bookman Old Style" w:cs="Times New Roman"/>
          <w:sz w:val="24"/>
          <w:szCs w:val="24"/>
        </w:rPr>
      </w:pPr>
      <w:r w:rsidRPr="0018236D">
        <w:rPr>
          <w:rFonts w:ascii="Bookman Old Style" w:hAnsi="Bookman Old Style" w:cs="Times New Roman"/>
          <w:sz w:val="24"/>
          <w:szCs w:val="24"/>
        </w:rPr>
        <w:t>c)</w:t>
      </w:r>
      <w:r w:rsidR="002F3A65" w:rsidRPr="0018236D">
        <w:rPr>
          <w:rFonts w:ascii="Bookman Old Style" w:hAnsi="Bookman Old Style" w:cs="Times New Roman"/>
          <w:sz w:val="24"/>
          <w:szCs w:val="24"/>
        </w:rPr>
        <w:t xml:space="preserve"> Está también lo que del Noce llamó el “relativismo absoluto”</w:t>
      </w:r>
      <w:r w:rsidR="002F3A65" w:rsidRPr="0018236D">
        <w:rPr>
          <w:rStyle w:val="Refdenotaalpie"/>
          <w:rFonts w:ascii="Bookman Old Style" w:hAnsi="Bookman Old Style" w:cs="Times New Roman"/>
          <w:sz w:val="24"/>
          <w:szCs w:val="24"/>
        </w:rPr>
        <w:footnoteReference w:id="35"/>
      </w:r>
      <w:r w:rsidR="002F3A65" w:rsidRPr="0018236D">
        <w:rPr>
          <w:rFonts w:ascii="Bookman Old Style" w:hAnsi="Bookman Old Style" w:cs="Times New Roman"/>
          <w:sz w:val="24"/>
          <w:szCs w:val="24"/>
        </w:rPr>
        <w:t xml:space="preserve"> que resulta de la sociedad opulenta en su enfrentamiento con el marxismo. </w:t>
      </w:r>
      <w:r w:rsidR="00E30B85" w:rsidRPr="0018236D">
        <w:rPr>
          <w:rFonts w:ascii="Bookman Old Style" w:hAnsi="Bookman Old Style" w:cs="Times New Roman"/>
          <w:sz w:val="24"/>
          <w:szCs w:val="24"/>
        </w:rPr>
        <w:t xml:space="preserve">Komar decía en un apunte: “En </w:t>
      </w:r>
      <w:r w:rsidR="00E30B85" w:rsidRPr="0018236D">
        <w:rPr>
          <w:rFonts w:ascii="Bookman Old Style" w:hAnsi="Bookman Old Style" w:cs="Times New Roman"/>
          <w:sz w:val="24"/>
          <w:szCs w:val="24"/>
          <w:u w:val="single"/>
        </w:rPr>
        <w:t>Marx</w:t>
      </w:r>
      <w:r w:rsidR="00E30B85" w:rsidRPr="0018236D">
        <w:rPr>
          <w:rFonts w:ascii="Bookman Old Style" w:hAnsi="Bookman Old Style" w:cs="Times New Roman"/>
          <w:sz w:val="24"/>
          <w:szCs w:val="24"/>
        </w:rPr>
        <w:t xml:space="preserve">, el término (Ideología) llega a significar la cobertura racional de los intereses económico-sociales no confesables, es decir, una falsa filosofía. En este sentido Marx continúa las tendencias desmitizadoras y desemascaradoras del Iluminismo”. La novedad es aquí tomar al mismo </w:t>
      </w:r>
      <w:r w:rsidR="00A01071" w:rsidRPr="0018236D">
        <w:rPr>
          <w:rFonts w:ascii="Bookman Old Style" w:hAnsi="Bookman Old Style" w:cs="Times New Roman"/>
          <w:sz w:val="24"/>
          <w:szCs w:val="24"/>
        </w:rPr>
        <w:t xml:space="preserve">marxismo como ideología. </w:t>
      </w:r>
      <w:r w:rsidR="001B7908" w:rsidRPr="0018236D">
        <w:rPr>
          <w:rFonts w:ascii="Bookman Old Style" w:hAnsi="Bookman Old Style" w:cs="Times New Roman"/>
          <w:sz w:val="24"/>
          <w:szCs w:val="24"/>
        </w:rPr>
        <w:t>Encontramos</w:t>
      </w:r>
      <w:r w:rsidR="00E30B85" w:rsidRPr="0018236D">
        <w:rPr>
          <w:rFonts w:ascii="Bookman Old Style" w:hAnsi="Bookman Old Style" w:cs="Times New Roman"/>
          <w:sz w:val="24"/>
          <w:szCs w:val="24"/>
        </w:rPr>
        <w:t xml:space="preserve"> también</w:t>
      </w:r>
      <w:r w:rsidR="001B7908" w:rsidRPr="0018236D">
        <w:rPr>
          <w:rFonts w:ascii="Bookman Old Style" w:hAnsi="Bookman Old Style" w:cs="Times New Roman"/>
          <w:sz w:val="24"/>
          <w:szCs w:val="24"/>
        </w:rPr>
        <w:t xml:space="preserve"> una indicación </w:t>
      </w:r>
      <w:r w:rsidR="00612F73" w:rsidRPr="0018236D">
        <w:rPr>
          <w:rFonts w:ascii="Bookman Old Style" w:hAnsi="Bookman Old Style" w:cs="Times New Roman"/>
          <w:sz w:val="24"/>
          <w:szCs w:val="24"/>
        </w:rPr>
        <w:t>que</w:t>
      </w:r>
      <w:r w:rsidR="00A01071" w:rsidRPr="0018236D">
        <w:rPr>
          <w:rFonts w:ascii="Bookman Old Style" w:hAnsi="Bookman Old Style" w:cs="Times New Roman"/>
          <w:sz w:val="24"/>
          <w:szCs w:val="24"/>
        </w:rPr>
        <w:t xml:space="preserve"> apunta a ello en</w:t>
      </w:r>
      <w:r w:rsidR="001B7908" w:rsidRPr="0018236D">
        <w:rPr>
          <w:rFonts w:ascii="Bookman Old Style" w:hAnsi="Bookman Old Style" w:cs="Times New Roman"/>
          <w:sz w:val="24"/>
          <w:szCs w:val="24"/>
        </w:rPr>
        <w:t xml:space="preserve"> </w:t>
      </w:r>
      <w:r w:rsidR="00612F73" w:rsidRPr="0018236D">
        <w:rPr>
          <w:rFonts w:ascii="Bookman Old Style" w:hAnsi="Bookman Old Style" w:cs="Times New Roman"/>
          <w:sz w:val="24"/>
          <w:szCs w:val="24"/>
        </w:rPr>
        <w:t>F. Copleston</w:t>
      </w:r>
      <w:r w:rsidR="00612F73" w:rsidRPr="0018236D">
        <w:rPr>
          <w:rStyle w:val="Refdenotaalpie"/>
          <w:rFonts w:ascii="Bookman Old Style" w:hAnsi="Bookman Old Style" w:cs="Times New Roman"/>
          <w:sz w:val="24"/>
          <w:szCs w:val="24"/>
        </w:rPr>
        <w:footnoteReference w:id="36"/>
      </w:r>
      <w:r w:rsidR="00612F73" w:rsidRPr="0018236D">
        <w:rPr>
          <w:rFonts w:ascii="Bookman Old Style" w:hAnsi="Bookman Old Style" w:cs="Times New Roman"/>
          <w:sz w:val="24"/>
          <w:szCs w:val="24"/>
        </w:rPr>
        <w:t>:”Pero es ineludible preguntar si el marxismo cae bajo su propio concepto de ideología, como relativa a una estructura económica temporal, o si trasciende estos límites y representa una verdad absoluta”.</w:t>
      </w:r>
      <w:r w:rsidR="001174EB" w:rsidRPr="0018236D">
        <w:rPr>
          <w:rFonts w:ascii="Bookman Old Style" w:hAnsi="Bookman Old Style" w:cs="Times New Roman"/>
          <w:sz w:val="24"/>
          <w:szCs w:val="24"/>
        </w:rPr>
        <w:t xml:space="preserve"> De la primera manera </w:t>
      </w:r>
      <w:r w:rsidR="00130274" w:rsidRPr="0018236D">
        <w:rPr>
          <w:rFonts w:ascii="Bookman Old Style" w:hAnsi="Bookman Old Style" w:cs="Times New Roman"/>
          <w:sz w:val="24"/>
          <w:szCs w:val="24"/>
        </w:rPr>
        <w:t xml:space="preserve">se cancelan tanto la dialéctica como cualquier escepticismo y pesimismo posibles. El aumento del consumo coincidiría con la anulación de la miseria pero a costa de reducir al hombre a un </w:t>
      </w:r>
      <w:r w:rsidR="00130274" w:rsidRPr="0018236D">
        <w:rPr>
          <w:rFonts w:ascii="Bookman Old Style" w:hAnsi="Bookman Old Style" w:cs="Times New Roman"/>
          <w:i/>
          <w:sz w:val="24"/>
          <w:szCs w:val="24"/>
        </w:rPr>
        <w:t xml:space="preserve">homo oeconomicus </w:t>
      </w:r>
      <w:r w:rsidR="00130274" w:rsidRPr="0018236D">
        <w:rPr>
          <w:rFonts w:ascii="Bookman Old Style" w:hAnsi="Bookman Old Style" w:cs="Times New Roman"/>
          <w:sz w:val="24"/>
          <w:szCs w:val="24"/>
        </w:rPr>
        <w:t>nunca antes formulado</w:t>
      </w:r>
      <w:r w:rsidR="00531277" w:rsidRPr="0018236D">
        <w:rPr>
          <w:rFonts w:ascii="Bookman Old Style" w:hAnsi="Bookman Old Style" w:cs="Times New Roman"/>
          <w:sz w:val="24"/>
          <w:szCs w:val="24"/>
        </w:rPr>
        <w:t>: el hombre como mero instrumento de una actividad que no está ordenada al otro. “El otro se reduce a un haz de deseos que deben ser satisfechos o mejor que deben ser artificialmente multiplicados para que el sujeto pueda afirmarse”</w:t>
      </w:r>
      <w:r w:rsidR="00B246F4" w:rsidRPr="0018236D">
        <w:rPr>
          <w:rFonts w:ascii="Bookman Old Style" w:hAnsi="Bookman Old Style" w:cs="Times New Roman"/>
          <w:sz w:val="24"/>
          <w:szCs w:val="24"/>
        </w:rPr>
        <w:t>.</w:t>
      </w:r>
      <w:r w:rsidR="00531277" w:rsidRPr="0018236D">
        <w:rPr>
          <w:rStyle w:val="Refdenotaalpie"/>
          <w:rFonts w:ascii="Bookman Old Style" w:hAnsi="Bookman Old Style" w:cs="Times New Roman"/>
          <w:sz w:val="24"/>
          <w:szCs w:val="24"/>
        </w:rPr>
        <w:footnoteReference w:id="37"/>
      </w:r>
      <w:r w:rsidR="005C6909" w:rsidRPr="0018236D">
        <w:rPr>
          <w:rFonts w:ascii="Bookman Old Style" w:hAnsi="Bookman Old Style" w:cs="Times New Roman"/>
          <w:sz w:val="24"/>
          <w:szCs w:val="24"/>
        </w:rPr>
        <w:t xml:space="preserve"> No casualmente los análisis de J. Baudrillard sobre la sociedad de consumo desembocan</w:t>
      </w:r>
      <w:r w:rsidR="003E53A2" w:rsidRPr="0018236D">
        <w:rPr>
          <w:rFonts w:ascii="Bookman Old Style" w:hAnsi="Bookman Old Style" w:cs="Times New Roman"/>
          <w:sz w:val="24"/>
          <w:szCs w:val="24"/>
        </w:rPr>
        <w:t xml:space="preserve"> en el diagnóstico de la “alienación contemporánea</w:t>
      </w:r>
      <w:r w:rsidR="00B52C9F" w:rsidRPr="0018236D">
        <w:rPr>
          <w:rFonts w:ascii="Bookman Old Style" w:hAnsi="Bookman Old Style" w:cs="Times New Roman"/>
          <w:sz w:val="24"/>
          <w:szCs w:val="24"/>
        </w:rPr>
        <w:t>”</w:t>
      </w:r>
      <w:r w:rsidR="00B52C9F" w:rsidRPr="0018236D">
        <w:rPr>
          <w:rStyle w:val="Refdenotaalpie"/>
          <w:rFonts w:ascii="Bookman Old Style" w:hAnsi="Bookman Old Style" w:cs="Times New Roman"/>
          <w:sz w:val="24"/>
          <w:szCs w:val="24"/>
        </w:rPr>
        <w:footnoteReference w:id="38"/>
      </w:r>
      <w:r w:rsidR="0070034D" w:rsidRPr="0018236D">
        <w:rPr>
          <w:rFonts w:ascii="Bookman Old Style" w:hAnsi="Bookman Old Style" w:cs="Times New Roman"/>
          <w:sz w:val="24"/>
          <w:szCs w:val="24"/>
        </w:rPr>
        <w:t xml:space="preserve"> aunque tampoco es casual que estos autores postmodernos no tengan solución a la mano para estos diagnósticos. Para Baudrillard es el fin de la trascendencia, no hay más finalidad ni objetivo (Op. cit., p. 308-9). Sin embargo, estos estudios podrían tomarse como el diagnóstico inmanente a la sociedad de consumo y no a la sociedad tal como es en sí. Análogamente a como lo hacía Sartre para un cierto tipo humano.</w:t>
      </w:r>
    </w:p>
    <w:p w:rsidR="002A591E" w:rsidRPr="0018236D" w:rsidRDefault="00466E58" w:rsidP="002A591E">
      <w:pPr>
        <w:spacing w:line="360" w:lineRule="auto"/>
        <w:jc w:val="both"/>
        <w:rPr>
          <w:rFonts w:ascii="Bookman Old Style" w:hAnsi="Bookman Old Style" w:cs="Times New Roman"/>
          <w:sz w:val="24"/>
          <w:szCs w:val="24"/>
        </w:rPr>
      </w:pPr>
      <w:r w:rsidRPr="0018236D">
        <w:rPr>
          <w:rFonts w:ascii="Bookman Old Style" w:hAnsi="Bookman Old Style" w:cs="Times New Roman"/>
          <w:sz w:val="24"/>
          <w:szCs w:val="24"/>
        </w:rPr>
        <w:t>Para concluir: A</w:t>
      </w:r>
      <w:r w:rsidR="00362DEF" w:rsidRPr="0018236D">
        <w:rPr>
          <w:rFonts w:ascii="Bookman Old Style" w:hAnsi="Bookman Old Style" w:cs="Times New Roman"/>
          <w:sz w:val="24"/>
          <w:szCs w:val="24"/>
        </w:rPr>
        <w:t>sí como era imposible “inverar” cristianamente al marxismo también lo es para su sucedáneo: la sociedad opulenta</w:t>
      </w:r>
      <w:r w:rsidR="006A570E" w:rsidRPr="0018236D">
        <w:rPr>
          <w:rStyle w:val="Refdenotaalpie"/>
          <w:rFonts w:ascii="Bookman Old Style" w:hAnsi="Bookman Old Style" w:cs="Times New Roman"/>
          <w:sz w:val="24"/>
          <w:szCs w:val="24"/>
        </w:rPr>
        <w:footnoteReference w:id="39"/>
      </w:r>
      <w:r w:rsidR="00362DEF" w:rsidRPr="0018236D">
        <w:rPr>
          <w:rFonts w:ascii="Bookman Old Style" w:hAnsi="Bookman Old Style" w:cs="Times New Roman"/>
          <w:sz w:val="24"/>
          <w:szCs w:val="24"/>
        </w:rPr>
        <w:t xml:space="preserve">. La novedad de estos últimos tiempos </w:t>
      </w:r>
      <w:r w:rsidR="00F34E40" w:rsidRPr="0018236D">
        <w:rPr>
          <w:rFonts w:ascii="Bookman Old Style" w:hAnsi="Bookman Old Style" w:cs="Times New Roman"/>
          <w:sz w:val="24"/>
          <w:szCs w:val="24"/>
        </w:rPr>
        <w:t>en el ámbito católico</w:t>
      </w:r>
      <w:r w:rsidR="00AC3D8C" w:rsidRPr="0018236D">
        <w:rPr>
          <w:rFonts w:ascii="Bookman Old Style" w:hAnsi="Bookman Old Style" w:cs="Times New Roman"/>
          <w:sz w:val="24"/>
          <w:szCs w:val="24"/>
        </w:rPr>
        <w:t xml:space="preserve"> -a pesar del certero y reciente diagnóstico de Benedicto XVI sobre la dictadura del relativismo-</w:t>
      </w:r>
      <w:r w:rsidR="00F34E40" w:rsidRPr="0018236D">
        <w:rPr>
          <w:rFonts w:ascii="Bookman Old Style" w:hAnsi="Bookman Old Style" w:cs="Times New Roman"/>
          <w:sz w:val="24"/>
          <w:szCs w:val="24"/>
        </w:rPr>
        <w:t xml:space="preserve"> </w:t>
      </w:r>
      <w:r w:rsidR="00362DEF" w:rsidRPr="0018236D">
        <w:rPr>
          <w:rFonts w:ascii="Bookman Old Style" w:hAnsi="Bookman Old Style" w:cs="Times New Roman"/>
          <w:sz w:val="24"/>
          <w:szCs w:val="24"/>
        </w:rPr>
        <w:t>está</w:t>
      </w:r>
      <w:r w:rsidR="00F34E40" w:rsidRPr="0018236D">
        <w:rPr>
          <w:rFonts w:ascii="Bookman Old Style" w:hAnsi="Bookman Old Style" w:cs="Times New Roman"/>
          <w:sz w:val="24"/>
          <w:szCs w:val="24"/>
        </w:rPr>
        <w:t xml:space="preserve"> en que se ha dado absoluta preeminencia al aspecto pastoral sobre el dogmático con la consiguiente adopción de momentos relativísticos </w:t>
      </w:r>
      <w:r w:rsidR="004D50C2" w:rsidRPr="0018236D">
        <w:rPr>
          <w:rFonts w:ascii="Bookman Old Style" w:hAnsi="Bookman Old Style" w:cs="Times New Roman"/>
          <w:sz w:val="24"/>
          <w:szCs w:val="24"/>
        </w:rPr>
        <w:t xml:space="preserve">propios </w:t>
      </w:r>
      <w:r w:rsidR="00F34E40" w:rsidRPr="0018236D">
        <w:rPr>
          <w:rFonts w:ascii="Bookman Old Style" w:hAnsi="Bookman Old Style" w:cs="Times New Roman"/>
          <w:sz w:val="24"/>
          <w:szCs w:val="24"/>
        </w:rPr>
        <w:t xml:space="preserve">de una sociedad irreligiosa o </w:t>
      </w:r>
      <w:r w:rsidR="00AC3D8C" w:rsidRPr="0018236D">
        <w:rPr>
          <w:rFonts w:ascii="Bookman Old Style" w:hAnsi="Bookman Old Style" w:cs="Times New Roman"/>
          <w:sz w:val="24"/>
          <w:szCs w:val="24"/>
        </w:rPr>
        <w:t>negadora de lo sacro. Lo cual</w:t>
      </w:r>
      <w:r w:rsidR="00F34E40" w:rsidRPr="0018236D">
        <w:rPr>
          <w:rFonts w:ascii="Bookman Old Style" w:hAnsi="Bookman Old Style" w:cs="Times New Roman"/>
          <w:sz w:val="24"/>
          <w:szCs w:val="24"/>
        </w:rPr>
        <w:t xml:space="preserve"> </w:t>
      </w:r>
      <w:r w:rsidR="00AC3D8C" w:rsidRPr="0018236D">
        <w:rPr>
          <w:rFonts w:ascii="Bookman Old Style" w:hAnsi="Bookman Old Style" w:cs="Times New Roman"/>
          <w:sz w:val="24"/>
          <w:szCs w:val="24"/>
        </w:rPr>
        <w:t>es</w:t>
      </w:r>
      <w:r w:rsidR="00A44377" w:rsidRPr="0018236D">
        <w:rPr>
          <w:rFonts w:ascii="Bookman Old Style" w:hAnsi="Bookman Old Style" w:cs="Times New Roman"/>
          <w:sz w:val="24"/>
          <w:szCs w:val="24"/>
        </w:rPr>
        <w:t xml:space="preserve"> un error </w:t>
      </w:r>
      <w:r w:rsidR="00AC3D8C" w:rsidRPr="0018236D">
        <w:rPr>
          <w:rFonts w:ascii="Bookman Old Style" w:hAnsi="Bookman Old Style" w:cs="Times New Roman"/>
          <w:sz w:val="24"/>
          <w:szCs w:val="24"/>
        </w:rPr>
        <w:t>y</w:t>
      </w:r>
      <w:r w:rsidR="00833212" w:rsidRPr="0018236D">
        <w:rPr>
          <w:rFonts w:ascii="Bookman Old Style" w:hAnsi="Bookman Old Style" w:cs="Times New Roman"/>
          <w:sz w:val="24"/>
          <w:szCs w:val="24"/>
        </w:rPr>
        <w:t xml:space="preserve"> una tergiversación de lo formulado en el ta</w:t>
      </w:r>
      <w:r w:rsidR="00D22DD5" w:rsidRPr="0018236D">
        <w:rPr>
          <w:rFonts w:ascii="Bookman Old Style" w:hAnsi="Bookman Old Style" w:cs="Times New Roman"/>
          <w:sz w:val="24"/>
          <w:szCs w:val="24"/>
        </w:rPr>
        <w:t xml:space="preserve">n </w:t>
      </w:r>
      <w:r w:rsidR="00AC3D8C" w:rsidRPr="0018236D">
        <w:rPr>
          <w:rFonts w:ascii="Bookman Old Style" w:hAnsi="Bookman Old Style" w:cs="Times New Roman"/>
          <w:sz w:val="24"/>
          <w:szCs w:val="24"/>
        </w:rPr>
        <w:t>invocado Concilio Vaticano II.</w:t>
      </w:r>
      <w:r w:rsidR="002A591E" w:rsidRPr="0018236D">
        <w:rPr>
          <w:rFonts w:ascii="Bookman Old Style" w:hAnsi="Bookman Old Style" w:cs="Times New Roman"/>
          <w:sz w:val="24"/>
          <w:szCs w:val="24"/>
        </w:rPr>
        <w:t xml:space="preserve"> Be</w:t>
      </w:r>
      <w:r w:rsidR="00AC3D8C" w:rsidRPr="0018236D">
        <w:rPr>
          <w:rFonts w:ascii="Bookman Old Style" w:hAnsi="Bookman Old Style" w:cs="Times New Roman"/>
          <w:sz w:val="24"/>
          <w:szCs w:val="24"/>
        </w:rPr>
        <w:t xml:space="preserve">nedicto XVI a los 40 años de la </w:t>
      </w:r>
      <w:r w:rsidR="002A591E" w:rsidRPr="0018236D">
        <w:rPr>
          <w:rFonts w:ascii="Bookman Old Style" w:hAnsi="Bookman Old Style" w:cs="Times New Roman"/>
          <w:sz w:val="24"/>
          <w:szCs w:val="24"/>
        </w:rPr>
        <w:t>celebración</w:t>
      </w:r>
      <w:r w:rsidR="00AC3D8C" w:rsidRPr="0018236D">
        <w:rPr>
          <w:rFonts w:ascii="Bookman Old Style" w:hAnsi="Bookman Old Style" w:cs="Times New Roman"/>
          <w:sz w:val="24"/>
          <w:szCs w:val="24"/>
        </w:rPr>
        <w:t xml:space="preserve"> de dicho Concilio formulaba ese error de esta manera</w:t>
      </w:r>
      <w:r w:rsidR="002A591E" w:rsidRPr="0018236D">
        <w:rPr>
          <w:rFonts w:ascii="Bookman Old Style" w:hAnsi="Bookman Old Style" w:cs="Times New Roman"/>
          <w:sz w:val="24"/>
          <w:szCs w:val="24"/>
        </w:rPr>
        <w:t>:</w:t>
      </w:r>
      <w:r w:rsidR="002A591E" w:rsidRPr="0018236D">
        <w:rPr>
          <w:rFonts w:ascii="Bookman Old Style" w:hAnsi="Bookman Old Style"/>
        </w:rPr>
        <w:t xml:space="preserve"> “</w:t>
      </w:r>
      <w:r w:rsidR="002A591E" w:rsidRPr="0018236D">
        <w:rPr>
          <w:rFonts w:ascii="Bookman Old Style" w:hAnsi="Bookman Old Style" w:cs="Times New Roman"/>
          <w:sz w:val="24"/>
          <w:szCs w:val="24"/>
        </w:rPr>
        <w:t>Quienes esperaban que con este "sí" fundamental a la edad moderna todas las tensiones desaparecerían y la "apertura al mundo" así realizada lo transformaría todo en pura armonía, habían subestimado las tensiones interiores y también  las contradicciones de la misma  edad  moderna;  habían subestimado la peligrosa fragilidad de la naturaleza humana, que en todos los períodos de la historia y en toda situación histórica es una amenaza para el camino del hombre. Estos peligros, con las nuevas posibilidades y con el nuevo poder del hombre sobre la materia y sobre sí mismo, no han desaparecido; al contrario, asumen nuevas dimensiones:  una mirada a la historia actual lo demuestra claramente”.</w:t>
      </w:r>
      <w:r w:rsidR="00E455EF" w:rsidRPr="0018236D">
        <w:rPr>
          <w:rStyle w:val="Refdenotaalpie"/>
          <w:rFonts w:ascii="Bookman Old Style" w:hAnsi="Bookman Old Style" w:cs="Times New Roman"/>
          <w:sz w:val="24"/>
          <w:szCs w:val="24"/>
        </w:rPr>
        <w:footnoteReference w:id="40"/>
      </w:r>
    </w:p>
    <w:p w:rsidR="00362DEF" w:rsidRPr="0018236D" w:rsidRDefault="002A591E" w:rsidP="002A591E">
      <w:pPr>
        <w:spacing w:line="360" w:lineRule="auto"/>
        <w:jc w:val="both"/>
        <w:rPr>
          <w:rFonts w:ascii="Bookman Old Style" w:hAnsi="Bookman Old Style" w:cs="Times New Roman"/>
          <w:sz w:val="24"/>
          <w:szCs w:val="24"/>
        </w:rPr>
      </w:pPr>
      <w:r w:rsidRPr="0018236D">
        <w:rPr>
          <w:rFonts w:ascii="Bookman Old Style" w:hAnsi="Bookman Old Style" w:cs="Times New Roman"/>
          <w:sz w:val="24"/>
          <w:szCs w:val="24"/>
        </w:rPr>
        <w:t xml:space="preserve"> </w:t>
      </w:r>
      <w:r w:rsidR="00466E58" w:rsidRPr="0018236D">
        <w:rPr>
          <w:rFonts w:ascii="Bookman Old Style" w:hAnsi="Bookman Old Style" w:cs="Times New Roman"/>
          <w:sz w:val="24"/>
          <w:szCs w:val="24"/>
        </w:rPr>
        <w:t>La</w:t>
      </w:r>
      <w:r w:rsidR="00343E66" w:rsidRPr="0018236D">
        <w:rPr>
          <w:rFonts w:ascii="Bookman Old Style" w:hAnsi="Bookman Old Style" w:cs="Times New Roman"/>
          <w:sz w:val="24"/>
          <w:szCs w:val="24"/>
        </w:rPr>
        <w:t xml:space="preserve"> transmisión </w:t>
      </w:r>
      <w:r w:rsidR="0068623E" w:rsidRPr="0018236D">
        <w:rPr>
          <w:rFonts w:ascii="Bookman Old Style" w:hAnsi="Bookman Old Style" w:cs="Times New Roman"/>
          <w:sz w:val="24"/>
          <w:szCs w:val="24"/>
        </w:rPr>
        <w:t>“</w:t>
      </w:r>
      <w:r w:rsidR="00343E66" w:rsidRPr="0018236D">
        <w:rPr>
          <w:rFonts w:ascii="Bookman Old Style" w:hAnsi="Bookman Old Style" w:cs="Times New Roman"/>
          <w:sz w:val="24"/>
          <w:szCs w:val="24"/>
        </w:rPr>
        <w:t>pura e íntegra</w:t>
      </w:r>
      <w:r w:rsidR="0068623E" w:rsidRPr="0018236D">
        <w:rPr>
          <w:rFonts w:ascii="Bookman Old Style" w:hAnsi="Bookman Old Style" w:cs="Times New Roman"/>
          <w:sz w:val="24"/>
          <w:szCs w:val="24"/>
        </w:rPr>
        <w:t>”</w:t>
      </w:r>
      <w:r w:rsidR="00466E58" w:rsidRPr="0018236D">
        <w:rPr>
          <w:rFonts w:ascii="Bookman Old Style" w:hAnsi="Bookman Old Style" w:cs="Times New Roman"/>
          <w:sz w:val="24"/>
          <w:szCs w:val="24"/>
        </w:rPr>
        <w:t xml:space="preserve"> invocada por Juan XXIII</w:t>
      </w:r>
      <w:r w:rsidR="00343E66" w:rsidRPr="0018236D">
        <w:rPr>
          <w:rFonts w:ascii="Bookman Old Style" w:hAnsi="Bookman Old Style" w:cs="Times New Roman"/>
          <w:sz w:val="24"/>
          <w:szCs w:val="24"/>
        </w:rPr>
        <w:t xml:space="preserve"> es la que determina la posibilidad de cualquier instrumento pastoral y no a la inversa.</w:t>
      </w:r>
      <w:r w:rsidR="0055021B" w:rsidRPr="0018236D">
        <w:rPr>
          <w:rFonts w:ascii="Bookman Old Style" w:hAnsi="Bookman Old Style" w:cs="Times New Roman"/>
          <w:sz w:val="24"/>
          <w:szCs w:val="24"/>
        </w:rPr>
        <w:t xml:space="preserve"> Y en cuanto a la adopción de </w:t>
      </w:r>
      <w:r w:rsidR="0068623E" w:rsidRPr="0018236D">
        <w:rPr>
          <w:rFonts w:ascii="Bookman Old Style" w:hAnsi="Bookman Old Style" w:cs="Times New Roman"/>
          <w:sz w:val="24"/>
          <w:szCs w:val="24"/>
        </w:rPr>
        <w:t>“</w:t>
      </w:r>
      <w:r w:rsidR="0055021B" w:rsidRPr="0018236D">
        <w:rPr>
          <w:rFonts w:ascii="Bookman Old Style" w:hAnsi="Bookman Old Style" w:cs="Times New Roman"/>
          <w:sz w:val="24"/>
          <w:szCs w:val="24"/>
        </w:rPr>
        <w:t>lenguajes</w:t>
      </w:r>
      <w:r w:rsidR="0068623E" w:rsidRPr="0018236D">
        <w:rPr>
          <w:rFonts w:ascii="Bookman Old Style" w:hAnsi="Bookman Old Style" w:cs="Times New Roman"/>
          <w:sz w:val="24"/>
          <w:szCs w:val="24"/>
        </w:rPr>
        <w:t>”</w:t>
      </w:r>
      <w:r w:rsidR="0055021B" w:rsidRPr="0018236D">
        <w:rPr>
          <w:rFonts w:ascii="Bookman Old Style" w:hAnsi="Bookman Old Style" w:cs="Times New Roman"/>
          <w:sz w:val="24"/>
          <w:szCs w:val="24"/>
        </w:rPr>
        <w:t xml:space="preserve"> para la transmisión de esa doctrina sucede lo mismo. Es la Dogmática la que tiene prioridad sobre las forma</w:t>
      </w:r>
      <w:r w:rsidR="00F34D70" w:rsidRPr="0018236D">
        <w:rPr>
          <w:rFonts w:ascii="Bookman Old Style" w:hAnsi="Bookman Old Style" w:cs="Times New Roman"/>
          <w:sz w:val="24"/>
          <w:szCs w:val="24"/>
        </w:rPr>
        <w:t>s de transmitir la Fe. Si la pastoral renuncia a la profundidad de la fe y del misterio se vuelve “pastoril” decía Komar</w:t>
      </w:r>
      <w:r w:rsidR="00F1511D" w:rsidRPr="0018236D">
        <w:rPr>
          <w:rStyle w:val="Refdenotaalpie"/>
          <w:rFonts w:ascii="Bookman Old Style" w:hAnsi="Bookman Old Style" w:cs="Times New Roman"/>
          <w:sz w:val="24"/>
          <w:szCs w:val="24"/>
        </w:rPr>
        <w:footnoteReference w:id="41"/>
      </w:r>
      <w:r w:rsidR="00F34D70" w:rsidRPr="0018236D">
        <w:rPr>
          <w:rFonts w:ascii="Bookman Old Style" w:hAnsi="Bookman Old Style" w:cs="Times New Roman"/>
          <w:sz w:val="24"/>
          <w:szCs w:val="24"/>
        </w:rPr>
        <w:t>. Y si la actividad es lo más importante estamos en el idealismo y en la filoso</w:t>
      </w:r>
      <w:r w:rsidR="0068623E" w:rsidRPr="0018236D">
        <w:rPr>
          <w:rFonts w:ascii="Bookman Old Style" w:hAnsi="Bookman Old Style" w:cs="Times New Roman"/>
          <w:sz w:val="24"/>
          <w:szCs w:val="24"/>
        </w:rPr>
        <w:t>fía de la práxis. Si esto sucediera</w:t>
      </w:r>
      <w:r w:rsidR="00F34D70" w:rsidRPr="0018236D">
        <w:rPr>
          <w:rFonts w:ascii="Bookman Old Style" w:hAnsi="Bookman Old Style" w:cs="Times New Roman"/>
          <w:sz w:val="24"/>
          <w:szCs w:val="24"/>
        </w:rPr>
        <w:t xml:space="preserve"> se </w:t>
      </w:r>
      <w:r w:rsidR="0055021B" w:rsidRPr="0018236D">
        <w:rPr>
          <w:rFonts w:ascii="Bookman Old Style" w:hAnsi="Bookman Old Style" w:cs="Times New Roman"/>
          <w:sz w:val="24"/>
          <w:szCs w:val="24"/>
        </w:rPr>
        <w:t xml:space="preserve">produciría la disolución que ya tuvo lugar en la derecha hegeliana y en el mismo Hegel por haberse sometido al </w:t>
      </w:r>
      <w:r w:rsidR="0055021B" w:rsidRPr="0018236D">
        <w:rPr>
          <w:rFonts w:ascii="Bookman Old Style" w:hAnsi="Bookman Old Style" w:cs="Times New Roman"/>
          <w:i/>
          <w:sz w:val="24"/>
          <w:szCs w:val="24"/>
        </w:rPr>
        <w:t>Weltlauf.</w:t>
      </w:r>
      <w:r w:rsidR="00F34D70" w:rsidRPr="0018236D">
        <w:rPr>
          <w:rFonts w:ascii="Bookman Old Style" w:hAnsi="Bookman Old Style" w:cs="Times New Roman"/>
          <w:sz w:val="24"/>
          <w:szCs w:val="24"/>
        </w:rPr>
        <w:t xml:space="preserve"> La explicitación de esta frustrada adhesión al </w:t>
      </w:r>
      <w:r w:rsidR="00F34D70" w:rsidRPr="0018236D">
        <w:rPr>
          <w:rFonts w:ascii="Bookman Old Style" w:hAnsi="Bookman Old Style" w:cs="Times New Roman"/>
          <w:i/>
          <w:sz w:val="24"/>
          <w:szCs w:val="24"/>
        </w:rPr>
        <w:t xml:space="preserve">Weltlauf </w:t>
      </w:r>
      <w:r w:rsidR="00F34D70" w:rsidRPr="0018236D">
        <w:rPr>
          <w:rFonts w:ascii="Bookman Old Style" w:hAnsi="Bookman Old Style" w:cs="Times New Roman"/>
          <w:sz w:val="24"/>
          <w:szCs w:val="24"/>
        </w:rPr>
        <w:t>se ve en el nihil</w:t>
      </w:r>
      <w:r w:rsidR="00D22DD5" w:rsidRPr="0018236D">
        <w:rPr>
          <w:rFonts w:ascii="Bookman Old Style" w:hAnsi="Bookman Old Style" w:cs="Times New Roman"/>
          <w:sz w:val="24"/>
          <w:szCs w:val="24"/>
        </w:rPr>
        <w:t>ismo de los autores posmodernos</w:t>
      </w:r>
      <w:r w:rsidR="00B47F59" w:rsidRPr="0018236D">
        <w:rPr>
          <w:rStyle w:val="Refdenotaalpie"/>
          <w:rFonts w:ascii="Bookman Old Style" w:hAnsi="Bookman Old Style" w:cs="Times New Roman"/>
          <w:sz w:val="24"/>
          <w:szCs w:val="24"/>
        </w:rPr>
        <w:footnoteReference w:id="42"/>
      </w:r>
      <w:r w:rsidR="00D22DD5" w:rsidRPr="0018236D">
        <w:rPr>
          <w:rFonts w:ascii="Bookman Old Style" w:hAnsi="Bookman Old Style" w:cs="Times New Roman"/>
          <w:sz w:val="24"/>
          <w:szCs w:val="24"/>
        </w:rPr>
        <w:t>.</w:t>
      </w:r>
      <w:r w:rsidR="00A64C4C" w:rsidRPr="0018236D">
        <w:rPr>
          <w:rFonts w:ascii="Bookman Old Style" w:hAnsi="Bookman Old Style" w:cs="Times New Roman"/>
          <w:sz w:val="24"/>
          <w:szCs w:val="24"/>
        </w:rPr>
        <w:t xml:space="preserve"> </w:t>
      </w:r>
    </w:p>
    <w:p w:rsidR="009F5E8D" w:rsidRPr="0018236D" w:rsidRDefault="00985639" w:rsidP="005269FE">
      <w:pPr>
        <w:spacing w:line="360" w:lineRule="auto"/>
        <w:jc w:val="both"/>
        <w:rPr>
          <w:rFonts w:ascii="Bookman Old Style" w:hAnsi="Bookman Old Style" w:cs="Times New Roman"/>
          <w:sz w:val="24"/>
          <w:szCs w:val="24"/>
        </w:rPr>
      </w:pPr>
      <w:r w:rsidRPr="0018236D">
        <w:rPr>
          <w:rFonts w:ascii="Bookman Old Style" w:hAnsi="Bookman Old Style" w:cs="Times New Roman"/>
          <w:sz w:val="24"/>
          <w:szCs w:val="24"/>
        </w:rPr>
        <w:t>Ya hemos dicho que el paso del marxismo a la sociedad opulenta se da con la p</w:t>
      </w:r>
      <w:r w:rsidR="000F4E88" w:rsidRPr="0018236D">
        <w:rPr>
          <w:rFonts w:ascii="Bookman Old Style" w:hAnsi="Bookman Old Style" w:cs="Times New Roman"/>
          <w:sz w:val="24"/>
          <w:szCs w:val="24"/>
        </w:rPr>
        <w:t>érdida de lo sacro y con la preponderancia</w:t>
      </w:r>
      <w:r w:rsidRPr="0018236D">
        <w:rPr>
          <w:rFonts w:ascii="Bookman Old Style" w:hAnsi="Bookman Old Style" w:cs="Times New Roman"/>
          <w:sz w:val="24"/>
          <w:szCs w:val="24"/>
        </w:rPr>
        <w:t xml:space="preserve"> del aspecto relativístico sobre el dogmático. Ahora bien:</w:t>
      </w:r>
      <w:r w:rsidR="009D7A51" w:rsidRPr="0018236D">
        <w:rPr>
          <w:rFonts w:ascii="Bookman Old Style" w:hAnsi="Bookman Old Style" w:cs="Times New Roman"/>
          <w:sz w:val="24"/>
          <w:szCs w:val="24"/>
        </w:rPr>
        <w:t xml:space="preserve"> ¿cómo afecta el relativismo al actual pensamiento cristiano</w:t>
      </w:r>
      <w:r w:rsidR="00682CAA" w:rsidRPr="0018236D">
        <w:rPr>
          <w:rStyle w:val="Refdenotaalpie"/>
          <w:rFonts w:ascii="Bookman Old Style" w:hAnsi="Bookman Old Style" w:cs="Times New Roman"/>
          <w:sz w:val="24"/>
          <w:szCs w:val="24"/>
        </w:rPr>
        <w:footnoteReference w:id="43"/>
      </w:r>
      <w:r w:rsidR="009D7A51" w:rsidRPr="0018236D">
        <w:rPr>
          <w:rFonts w:ascii="Bookman Old Style" w:hAnsi="Bookman Old Style" w:cs="Times New Roman"/>
          <w:sz w:val="24"/>
          <w:szCs w:val="24"/>
        </w:rPr>
        <w:t>?</w:t>
      </w:r>
      <w:r w:rsidR="00EB721B" w:rsidRPr="0018236D">
        <w:rPr>
          <w:rFonts w:ascii="Bookman Old Style" w:hAnsi="Bookman Old Style" w:cs="Times New Roman"/>
          <w:sz w:val="24"/>
          <w:szCs w:val="24"/>
        </w:rPr>
        <w:t xml:space="preserve"> Tres grandes filósofos católicos se han pronunciado recientemente sobre esto. J. Seifert, R. Spaemann y S. Grygiel</w:t>
      </w:r>
      <w:r w:rsidR="00A10D52" w:rsidRPr="0018236D">
        <w:rPr>
          <w:rFonts w:ascii="Bookman Old Style" w:hAnsi="Bookman Old Style" w:cs="Times New Roman"/>
          <w:sz w:val="24"/>
          <w:szCs w:val="24"/>
        </w:rPr>
        <w:t xml:space="preserve"> -los tres amigos y cercanos a los últimos dos Papas- llaman la atención sobre distintos problemas morales suscitados por pronunciaciones rec</w:t>
      </w:r>
      <w:r w:rsidR="0068623E" w:rsidRPr="0018236D">
        <w:rPr>
          <w:rFonts w:ascii="Bookman Old Style" w:hAnsi="Bookman Old Style" w:cs="Times New Roman"/>
          <w:sz w:val="24"/>
          <w:szCs w:val="24"/>
        </w:rPr>
        <w:t>ientes. A ellos se han sumado muchos otros y, al recordar el curso de introducción filosófica</w:t>
      </w:r>
      <w:r w:rsidR="00CE1D0D" w:rsidRPr="0018236D">
        <w:rPr>
          <w:rFonts w:ascii="Bookman Old Style" w:hAnsi="Bookman Old Style" w:cs="Times New Roman"/>
          <w:sz w:val="24"/>
          <w:szCs w:val="24"/>
        </w:rPr>
        <w:t xml:space="preserve"> a</w:t>
      </w:r>
      <w:r w:rsidR="0068623E" w:rsidRPr="0018236D">
        <w:rPr>
          <w:rFonts w:ascii="Bookman Old Style" w:hAnsi="Bookman Old Style" w:cs="Times New Roman"/>
          <w:sz w:val="24"/>
          <w:szCs w:val="24"/>
        </w:rPr>
        <w:t xml:space="preserve"> la </w:t>
      </w:r>
      <w:r w:rsidR="0068623E" w:rsidRPr="0018236D">
        <w:rPr>
          <w:rFonts w:ascii="Bookman Old Style" w:hAnsi="Bookman Old Style" w:cs="Times New Roman"/>
          <w:i/>
          <w:sz w:val="24"/>
          <w:szCs w:val="24"/>
        </w:rPr>
        <w:t xml:space="preserve">Splendor Veritatis </w:t>
      </w:r>
      <w:r w:rsidR="0068623E" w:rsidRPr="0018236D">
        <w:rPr>
          <w:rFonts w:ascii="Bookman Old Style" w:hAnsi="Bookman Old Style" w:cs="Times New Roman"/>
          <w:sz w:val="24"/>
          <w:szCs w:val="24"/>
        </w:rPr>
        <w:t>que Komar dictó, no dudo acerca de su juici</w:t>
      </w:r>
      <w:r w:rsidR="00D10B59" w:rsidRPr="0018236D">
        <w:rPr>
          <w:rFonts w:ascii="Bookman Old Style" w:hAnsi="Bookman Old Style" w:cs="Times New Roman"/>
          <w:sz w:val="24"/>
          <w:szCs w:val="24"/>
        </w:rPr>
        <w:t>o</w:t>
      </w:r>
      <w:r w:rsidR="0068623E" w:rsidRPr="0018236D">
        <w:rPr>
          <w:rFonts w:ascii="Bookman Old Style" w:hAnsi="Bookman Old Style" w:cs="Times New Roman"/>
          <w:sz w:val="24"/>
          <w:szCs w:val="24"/>
        </w:rPr>
        <w:t>.</w:t>
      </w:r>
      <w:r w:rsidR="006E2595" w:rsidRPr="0018236D">
        <w:rPr>
          <w:rFonts w:ascii="Bookman Old Style" w:hAnsi="Bookman Old Style" w:cs="Times New Roman"/>
          <w:sz w:val="24"/>
          <w:szCs w:val="24"/>
        </w:rPr>
        <w:t xml:space="preserve"> Las dudas de corte relativista abarcan los Mandamientos, los Sacramentos, el papel de la intención y de las circunstancias en la determinación de la moralidad del acto, el Magisterio de la Iglesia sobre el matrimonio y el adulterio</w:t>
      </w:r>
      <w:r w:rsidR="00CE1D0D" w:rsidRPr="0018236D">
        <w:rPr>
          <w:rFonts w:ascii="Bookman Old Style" w:hAnsi="Bookman Old Style" w:cs="Times New Roman"/>
          <w:sz w:val="24"/>
          <w:szCs w:val="24"/>
        </w:rPr>
        <w:t xml:space="preserve">. La noción de pecado, la conciencia, el arrepentimiento, </w:t>
      </w:r>
      <w:r w:rsidR="00470AF5" w:rsidRPr="0018236D">
        <w:rPr>
          <w:rFonts w:ascii="Bookman Old Style" w:hAnsi="Bookman Old Style" w:cs="Times New Roman"/>
          <w:sz w:val="24"/>
          <w:szCs w:val="24"/>
        </w:rPr>
        <w:t>la misericordia, la conversión,</w:t>
      </w:r>
      <w:r w:rsidR="00CE1D0D" w:rsidRPr="0018236D">
        <w:rPr>
          <w:rFonts w:ascii="Bookman Old Style" w:hAnsi="Bookman Old Style" w:cs="Times New Roman"/>
          <w:sz w:val="24"/>
          <w:szCs w:val="24"/>
        </w:rPr>
        <w:t xml:space="preserve"> la Gracia </w:t>
      </w:r>
      <w:r w:rsidR="00470AF5" w:rsidRPr="0018236D">
        <w:rPr>
          <w:rFonts w:ascii="Bookman Old Style" w:hAnsi="Bookman Old Style" w:cs="Times New Roman"/>
          <w:sz w:val="24"/>
          <w:szCs w:val="24"/>
        </w:rPr>
        <w:t>y, más recientemente, la Liturgia</w:t>
      </w:r>
      <w:r w:rsidR="006C64C3" w:rsidRPr="0018236D">
        <w:rPr>
          <w:rStyle w:val="Refdenotaalpie"/>
          <w:rFonts w:ascii="Bookman Old Style" w:hAnsi="Bookman Old Style" w:cs="Times New Roman"/>
          <w:sz w:val="24"/>
          <w:szCs w:val="24"/>
        </w:rPr>
        <w:footnoteReference w:id="44"/>
      </w:r>
      <w:r w:rsidR="00470AF5" w:rsidRPr="0018236D">
        <w:rPr>
          <w:rFonts w:ascii="Bookman Old Style" w:hAnsi="Bookman Old Style" w:cs="Times New Roman"/>
          <w:sz w:val="24"/>
          <w:szCs w:val="24"/>
        </w:rPr>
        <w:t xml:space="preserve"> </w:t>
      </w:r>
      <w:r w:rsidR="00CE1D0D" w:rsidRPr="0018236D">
        <w:rPr>
          <w:rFonts w:ascii="Bookman Old Style" w:hAnsi="Bookman Old Style" w:cs="Times New Roman"/>
          <w:sz w:val="24"/>
          <w:szCs w:val="24"/>
        </w:rPr>
        <w:t xml:space="preserve">son otros tantos campos invadidos por la problematización. Todos temas entrañables para quien haya seguido a Komar en su magisterio cristiano. No menor </w:t>
      </w:r>
      <w:r w:rsidR="00A103DD" w:rsidRPr="0018236D">
        <w:rPr>
          <w:rFonts w:ascii="Bookman Old Style" w:hAnsi="Bookman Old Style" w:cs="Times New Roman"/>
          <w:sz w:val="24"/>
          <w:szCs w:val="24"/>
        </w:rPr>
        <w:t xml:space="preserve">perplejidad causa </w:t>
      </w:r>
      <w:r w:rsidR="00CE1D0D" w:rsidRPr="0018236D">
        <w:rPr>
          <w:rFonts w:ascii="Bookman Old Style" w:hAnsi="Bookman Old Style" w:cs="Times New Roman"/>
          <w:sz w:val="24"/>
          <w:szCs w:val="24"/>
        </w:rPr>
        <w:t>la actual estima de Lutero</w:t>
      </w:r>
      <w:r w:rsidR="000D40E5" w:rsidRPr="0018236D">
        <w:rPr>
          <w:rStyle w:val="Refdenotaalpie"/>
          <w:rFonts w:ascii="Bookman Old Style" w:hAnsi="Bookman Old Style" w:cs="Times New Roman"/>
          <w:sz w:val="24"/>
          <w:szCs w:val="24"/>
        </w:rPr>
        <w:footnoteReference w:id="45"/>
      </w:r>
      <w:r w:rsidR="0096630F" w:rsidRPr="0018236D">
        <w:rPr>
          <w:rFonts w:ascii="Bookman Old Style" w:hAnsi="Bookman Old Style" w:cs="Times New Roman"/>
          <w:sz w:val="24"/>
          <w:szCs w:val="24"/>
        </w:rPr>
        <w:t>,</w:t>
      </w:r>
      <w:r w:rsidR="00C205BD" w:rsidRPr="0018236D">
        <w:rPr>
          <w:rFonts w:ascii="Bookman Old Style" w:hAnsi="Bookman Old Style" w:cs="Times New Roman"/>
          <w:sz w:val="24"/>
          <w:szCs w:val="24"/>
        </w:rPr>
        <w:t xml:space="preserve"> precisamente en el aniversario de las tesis de Wittenberg</w:t>
      </w:r>
      <w:r w:rsidR="0096630F" w:rsidRPr="0018236D">
        <w:rPr>
          <w:rFonts w:ascii="Bookman Old Style" w:hAnsi="Bookman Old Style" w:cs="Times New Roman"/>
          <w:sz w:val="24"/>
          <w:szCs w:val="24"/>
        </w:rPr>
        <w:t>,</w:t>
      </w:r>
      <w:r w:rsidR="00C205BD" w:rsidRPr="0018236D">
        <w:rPr>
          <w:rFonts w:ascii="Bookman Old Style" w:hAnsi="Bookman Old Style" w:cs="Times New Roman"/>
          <w:sz w:val="24"/>
          <w:szCs w:val="24"/>
        </w:rPr>
        <w:t xml:space="preserve"> en contra del juicio histórico -invocado por Komar repetidamente- de H. Denifle, H. Grisar y J. Lortz.</w:t>
      </w:r>
    </w:p>
    <w:p w:rsidR="00D03399" w:rsidRPr="0018236D" w:rsidRDefault="00C205BD" w:rsidP="005269FE">
      <w:pPr>
        <w:spacing w:line="360" w:lineRule="auto"/>
        <w:jc w:val="both"/>
        <w:rPr>
          <w:rFonts w:ascii="Bookman Old Style" w:hAnsi="Bookman Old Style" w:cs="Times New Roman"/>
          <w:sz w:val="24"/>
          <w:szCs w:val="24"/>
        </w:rPr>
      </w:pPr>
      <w:r w:rsidRPr="0018236D">
        <w:rPr>
          <w:rFonts w:ascii="Bookman Old Style" w:hAnsi="Bookman Old Style" w:cs="Times New Roman"/>
          <w:sz w:val="24"/>
          <w:szCs w:val="24"/>
        </w:rPr>
        <w:t xml:space="preserve">La Filosofía es clínica y no quirúrgica, decía Komar. Nos permite comprender y discernir. </w:t>
      </w:r>
      <w:r w:rsidR="00F0014B" w:rsidRPr="0018236D">
        <w:rPr>
          <w:rFonts w:ascii="Bookman Old Style" w:hAnsi="Bookman Old Style" w:cs="Times New Roman"/>
          <w:sz w:val="24"/>
          <w:szCs w:val="24"/>
        </w:rPr>
        <w:t>¿A</w:t>
      </w:r>
      <w:r w:rsidR="00A103DD" w:rsidRPr="0018236D">
        <w:rPr>
          <w:rFonts w:ascii="Bookman Old Style" w:hAnsi="Bookman Old Style" w:cs="Times New Roman"/>
          <w:sz w:val="24"/>
          <w:szCs w:val="24"/>
        </w:rPr>
        <w:t xml:space="preserve">caso esto </w:t>
      </w:r>
      <w:r w:rsidR="00F0014B" w:rsidRPr="0018236D">
        <w:rPr>
          <w:rFonts w:ascii="Bookman Old Style" w:hAnsi="Bookman Old Style" w:cs="Times New Roman"/>
          <w:sz w:val="24"/>
          <w:szCs w:val="24"/>
        </w:rPr>
        <w:t xml:space="preserve">es </w:t>
      </w:r>
      <w:r w:rsidR="00A103DD" w:rsidRPr="0018236D">
        <w:rPr>
          <w:rFonts w:ascii="Bookman Old Style" w:hAnsi="Bookman Old Style" w:cs="Times New Roman"/>
          <w:sz w:val="24"/>
          <w:szCs w:val="24"/>
        </w:rPr>
        <w:t xml:space="preserve">poco? Recordemos el </w:t>
      </w:r>
      <w:r w:rsidR="00A103DD" w:rsidRPr="0018236D">
        <w:rPr>
          <w:rFonts w:ascii="Bookman Old Style" w:hAnsi="Bookman Old Style" w:cs="Times New Roman"/>
          <w:i/>
          <w:sz w:val="24"/>
          <w:szCs w:val="24"/>
        </w:rPr>
        <w:t>méga dýnatai</w:t>
      </w:r>
      <w:r w:rsidR="00A103DD" w:rsidRPr="0018236D">
        <w:rPr>
          <w:rFonts w:ascii="Bookman Old Style" w:hAnsi="Bookman Old Style" w:cs="Times New Roman"/>
          <w:sz w:val="24"/>
          <w:szCs w:val="24"/>
        </w:rPr>
        <w:t xml:space="preserve"> platónico. </w:t>
      </w:r>
    </w:p>
    <w:p w:rsidR="00EE528B" w:rsidRPr="0018236D" w:rsidRDefault="00C205BD" w:rsidP="00682CAA">
      <w:pPr>
        <w:spacing w:line="360" w:lineRule="auto"/>
        <w:jc w:val="both"/>
        <w:rPr>
          <w:rFonts w:ascii="Bookman Old Style" w:hAnsi="Bookman Old Style" w:cs="Times New Roman"/>
          <w:sz w:val="24"/>
          <w:szCs w:val="24"/>
        </w:rPr>
      </w:pPr>
      <w:r w:rsidRPr="0018236D">
        <w:rPr>
          <w:rFonts w:ascii="Bookman Old Style" w:hAnsi="Bookman Old Style" w:cs="Times New Roman"/>
          <w:sz w:val="24"/>
          <w:szCs w:val="24"/>
        </w:rPr>
        <w:t>Cerramos esta ponencia con unas palabras del Estagirita</w:t>
      </w:r>
      <w:r w:rsidR="00AC3D8C" w:rsidRPr="0018236D">
        <w:rPr>
          <w:rFonts w:ascii="Bookman Old Style" w:hAnsi="Bookman Old Style" w:cs="Times New Roman"/>
          <w:sz w:val="24"/>
          <w:szCs w:val="24"/>
        </w:rPr>
        <w:t xml:space="preserve"> y una referencia komariana a Hegel</w:t>
      </w:r>
      <w:r w:rsidR="00F56A8F" w:rsidRPr="0018236D">
        <w:rPr>
          <w:rFonts w:ascii="Bookman Old Style" w:hAnsi="Bookman Old Style" w:cs="Times New Roman"/>
          <w:sz w:val="24"/>
          <w:szCs w:val="24"/>
        </w:rPr>
        <w:t>: “Pero hay algunos</w:t>
      </w:r>
      <w:r w:rsidR="00540EA3" w:rsidRPr="0018236D">
        <w:rPr>
          <w:rFonts w:ascii="Bookman Old Style" w:hAnsi="Bookman Old Style" w:cs="Times New Roman"/>
          <w:sz w:val="24"/>
          <w:szCs w:val="24"/>
        </w:rPr>
        <w:t xml:space="preserve"> que plantean esta</w:t>
      </w:r>
      <w:r w:rsidR="00A103DD" w:rsidRPr="0018236D">
        <w:rPr>
          <w:rFonts w:ascii="Bookman Old Style" w:hAnsi="Bookman Old Style" w:cs="Times New Roman"/>
          <w:sz w:val="24"/>
          <w:szCs w:val="24"/>
        </w:rPr>
        <w:t xml:space="preserve"> dificultad (</w:t>
      </w:r>
      <w:bookmarkStart w:id="4" w:name="_Hlk488941442"/>
      <w:r w:rsidR="00A103DD" w:rsidRPr="0018236D">
        <w:rPr>
          <w:rFonts w:ascii="Times New Roman" w:hAnsi="Times New Roman" w:cs="Times New Roman"/>
          <w:sz w:val="24"/>
          <w:szCs w:val="24"/>
        </w:rPr>
        <w:t>ἀ</w:t>
      </w:r>
      <w:r w:rsidR="00A103DD" w:rsidRPr="0018236D">
        <w:rPr>
          <w:rFonts w:ascii="Bookman Old Style" w:hAnsi="Bookman Old Style" w:cs="Times New Roman"/>
          <w:sz w:val="24"/>
          <w:szCs w:val="24"/>
        </w:rPr>
        <w:t>πορ</w:t>
      </w:r>
      <w:bookmarkEnd w:id="4"/>
      <w:r w:rsidR="00A103DD" w:rsidRPr="0018236D">
        <w:rPr>
          <w:rFonts w:ascii="Bookman Old Style" w:hAnsi="Bookman Old Style" w:cs="Times New Roman"/>
          <w:sz w:val="24"/>
          <w:szCs w:val="24"/>
        </w:rPr>
        <w:t>ο</w:t>
      </w:r>
      <w:r w:rsidR="00A103DD" w:rsidRPr="0018236D">
        <w:rPr>
          <w:rFonts w:ascii="Times New Roman" w:hAnsi="Times New Roman" w:cs="Times New Roman"/>
          <w:sz w:val="24"/>
          <w:szCs w:val="24"/>
        </w:rPr>
        <w:t>ῦ</w:t>
      </w:r>
      <w:r w:rsidR="00A103DD" w:rsidRPr="0018236D">
        <w:rPr>
          <w:rFonts w:ascii="Bookman Old Style" w:hAnsi="Bookman Old Style" w:cs="Times New Roman"/>
          <w:sz w:val="24"/>
          <w:szCs w:val="24"/>
        </w:rPr>
        <w:t>σι)</w:t>
      </w:r>
      <w:r w:rsidR="00F56A8F" w:rsidRPr="0018236D">
        <w:rPr>
          <w:rFonts w:ascii="Bookman Old Style" w:hAnsi="Bookman Old Style" w:cs="Times New Roman"/>
          <w:sz w:val="24"/>
          <w:szCs w:val="24"/>
        </w:rPr>
        <w:t xml:space="preserve"> (…): preguntan</w:t>
      </w:r>
      <w:r w:rsidR="00F0014B" w:rsidRPr="0018236D">
        <w:rPr>
          <w:rFonts w:ascii="Bookman Old Style" w:hAnsi="Bookman Old Style" w:cs="Times New Roman"/>
          <w:sz w:val="24"/>
          <w:szCs w:val="24"/>
        </w:rPr>
        <w:t xml:space="preserve"> (ζητο</w:t>
      </w:r>
      <w:r w:rsidR="00F0014B" w:rsidRPr="0018236D">
        <w:rPr>
          <w:rFonts w:ascii="Times New Roman" w:hAnsi="Times New Roman" w:cs="Times New Roman"/>
          <w:sz w:val="24"/>
          <w:szCs w:val="24"/>
        </w:rPr>
        <w:t>ῦ</w:t>
      </w:r>
      <w:r w:rsidR="00F0014B" w:rsidRPr="0018236D">
        <w:rPr>
          <w:rFonts w:ascii="Bookman Old Style" w:hAnsi="Bookman Old Style" w:cs="Times New Roman"/>
          <w:sz w:val="24"/>
          <w:szCs w:val="24"/>
        </w:rPr>
        <w:t>σι)</w:t>
      </w:r>
      <w:r w:rsidR="00540EA3" w:rsidRPr="0018236D">
        <w:rPr>
          <w:rFonts w:ascii="Bookman Old Style" w:hAnsi="Bookman Old Style" w:cs="Times New Roman"/>
          <w:sz w:val="24"/>
          <w:szCs w:val="24"/>
        </w:rPr>
        <w:t xml:space="preserve"> </w:t>
      </w:r>
      <w:r w:rsidR="00D53788" w:rsidRPr="0018236D">
        <w:rPr>
          <w:rFonts w:ascii="Bookman Old Style" w:hAnsi="Bookman Old Style" w:cs="Times New Roman"/>
          <w:sz w:val="24"/>
          <w:szCs w:val="24"/>
        </w:rPr>
        <w:t>quién es aquel que está en condición</w:t>
      </w:r>
      <w:r w:rsidR="00540EA3" w:rsidRPr="0018236D">
        <w:rPr>
          <w:rFonts w:ascii="Bookman Old Style" w:hAnsi="Bookman Old Style" w:cs="Times New Roman"/>
          <w:sz w:val="24"/>
          <w:szCs w:val="24"/>
        </w:rPr>
        <w:t xml:space="preserve"> de juzgar</w:t>
      </w:r>
      <w:r w:rsidR="00F56A8F" w:rsidRPr="0018236D">
        <w:rPr>
          <w:rFonts w:ascii="Bookman Old Style" w:hAnsi="Bookman Old Style" w:cs="Times New Roman"/>
          <w:sz w:val="24"/>
          <w:szCs w:val="24"/>
        </w:rPr>
        <w:t xml:space="preserve"> (</w:t>
      </w:r>
      <w:r w:rsidR="00F56A8F" w:rsidRPr="0018236D">
        <w:rPr>
          <w:rFonts w:ascii="Times New Roman" w:hAnsi="Times New Roman" w:cs="Times New Roman"/>
          <w:sz w:val="24"/>
          <w:szCs w:val="24"/>
        </w:rPr>
        <w:t>ὁ</w:t>
      </w:r>
      <w:r w:rsidR="00F56A8F" w:rsidRPr="0018236D">
        <w:rPr>
          <w:rFonts w:ascii="Bookman Old Style" w:hAnsi="Bookman Old Style" w:cs="Times New Roman"/>
          <w:sz w:val="24"/>
          <w:szCs w:val="24"/>
        </w:rPr>
        <w:t xml:space="preserve"> κρ</w:t>
      </w:r>
      <w:r w:rsidR="00F0014B" w:rsidRPr="0018236D">
        <w:rPr>
          <w:rFonts w:ascii="Bookman Old Style" w:hAnsi="Bookman Old Style" w:cs="Times New Roman"/>
          <w:sz w:val="24"/>
          <w:szCs w:val="24"/>
        </w:rPr>
        <w:t>ι</w:t>
      </w:r>
      <w:r w:rsidR="00F56A8F" w:rsidRPr="0018236D">
        <w:rPr>
          <w:rFonts w:ascii="Bookman Old Style" w:hAnsi="Bookman Old Style" w:cs="Times New Roman"/>
          <w:sz w:val="24"/>
          <w:szCs w:val="24"/>
        </w:rPr>
        <w:t>ν</w:t>
      </w:r>
      <w:r w:rsidR="00F56A8F" w:rsidRPr="0018236D">
        <w:rPr>
          <w:rFonts w:ascii="Times New Roman" w:hAnsi="Times New Roman" w:cs="Times New Roman"/>
          <w:sz w:val="24"/>
          <w:szCs w:val="24"/>
        </w:rPr>
        <w:t>ῶ</w:t>
      </w:r>
      <w:r w:rsidR="00540EA3" w:rsidRPr="0018236D">
        <w:rPr>
          <w:rFonts w:ascii="Bookman Old Style" w:hAnsi="Bookman Old Style" w:cs="Times New Roman"/>
          <w:sz w:val="24"/>
          <w:szCs w:val="24"/>
        </w:rPr>
        <w:t xml:space="preserve">ν) qué hombre es </w:t>
      </w:r>
      <w:r w:rsidR="00F56A8F" w:rsidRPr="0018236D">
        <w:rPr>
          <w:rFonts w:ascii="Bookman Old Style" w:hAnsi="Bookman Old Style" w:cs="Times New Roman"/>
          <w:sz w:val="24"/>
          <w:szCs w:val="24"/>
        </w:rPr>
        <w:t xml:space="preserve">sano y, en suma, quién es </w:t>
      </w:r>
      <w:r w:rsidR="00540EA3" w:rsidRPr="0018236D">
        <w:rPr>
          <w:rFonts w:ascii="Bookman Old Style" w:hAnsi="Bookman Old Style" w:cs="Times New Roman"/>
          <w:sz w:val="24"/>
          <w:szCs w:val="24"/>
        </w:rPr>
        <w:t xml:space="preserve">aquel </w:t>
      </w:r>
      <w:r w:rsidR="00F56A8F" w:rsidRPr="0018236D">
        <w:rPr>
          <w:rFonts w:ascii="Bookman Old Style" w:hAnsi="Bookman Old Style" w:cs="Times New Roman"/>
          <w:sz w:val="24"/>
          <w:szCs w:val="24"/>
        </w:rPr>
        <w:t>capaz de juzgar rectamente (</w:t>
      </w:r>
      <w:r w:rsidR="00F56A8F" w:rsidRPr="0018236D">
        <w:rPr>
          <w:rFonts w:ascii="Times New Roman" w:hAnsi="Times New Roman" w:cs="Times New Roman"/>
          <w:sz w:val="24"/>
          <w:szCs w:val="24"/>
        </w:rPr>
        <w:t>ὀ</w:t>
      </w:r>
      <w:r w:rsidR="00F56A8F" w:rsidRPr="0018236D">
        <w:rPr>
          <w:rFonts w:ascii="Bookman Old Style" w:hAnsi="Bookman Old Style" w:cs="Times New Roman"/>
          <w:sz w:val="24"/>
          <w:szCs w:val="24"/>
        </w:rPr>
        <w:t>ρθ</w:t>
      </w:r>
      <w:r w:rsidR="00F56A8F" w:rsidRPr="0018236D">
        <w:rPr>
          <w:rFonts w:ascii="Times New Roman" w:hAnsi="Times New Roman" w:cs="Times New Roman"/>
          <w:sz w:val="24"/>
          <w:szCs w:val="24"/>
        </w:rPr>
        <w:t>ῶ</w:t>
      </w:r>
      <w:r w:rsidR="00540EA3" w:rsidRPr="0018236D">
        <w:rPr>
          <w:rFonts w:ascii="Bookman Old Style" w:hAnsi="Bookman Old Style" w:cs="Times New Roman"/>
          <w:sz w:val="24"/>
          <w:szCs w:val="24"/>
        </w:rPr>
        <w:t xml:space="preserve">ς) acerca de cualquier </w:t>
      </w:r>
      <w:r w:rsidR="00F56A8F" w:rsidRPr="0018236D">
        <w:rPr>
          <w:rFonts w:ascii="Bookman Old Style" w:hAnsi="Bookman Old Style" w:cs="Times New Roman"/>
          <w:sz w:val="24"/>
          <w:szCs w:val="24"/>
        </w:rPr>
        <w:t>cosa. Pero tales</w:t>
      </w:r>
      <w:r w:rsidR="00A97663" w:rsidRPr="0018236D">
        <w:rPr>
          <w:rFonts w:ascii="Bookman Old Style" w:hAnsi="Bookman Old Style" w:cs="Times New Roman"/>
          <w:sz w:val="24"/>
          <w:szCs w:val="24"/>
        </w:rPr>
        <w:t xml:space="preserve"> dificultades</w:t>
      </w:r>
      <w:r w:rsidR="001261BE" w:rsidRPr="0018236D">
        <w:rPr>
          <w:rStyle w:val="Refdenotaalpie"/>
          <w:rFonts w:ascii="Bookman Old Style" w:hAnsi="Bookman Old Style" w:cs="Times New Roman"/>
          <w:sz w:val="24"/>
          <w:szCs w:val="24"/>
        </w:rPr>
        <w:footnoteReference w:id="46"/>
      </w:r>
      <w:r w:rsidR="00A97663" w:rsidRPr="0018236D">
        <w:rPr>
          <w:rFonts w:ascii="Bookman Old Style" w:hAnsi="Bookman Old Style" w:cs="Times New Roman"/>
          <w:sz w:val="24"/>
          <w:szCs w:val="24"/>
        </w:rPr>
        <w:t xml:space="preserve"> </w:t>
      </w:r>
      <w:r w:rsidR="00D03399" w:rsidRPr="0018236D">
        <w:rPr>
          <w:rFonts w:ascii="Bookman Old Style" w:hAnsi="Bookman Old Style" w:cs="Times New Roman"/>
          <w:sz w:val="24"/>
          <w:szCs w:val="24"/>
        </w:rPr>
        <w:t>(</w:t>
      </w:r>
      <w:bookmarkStart w:id="5" w:name="_Hlk488942934"/>
      <w:r w:rsidR="00D03399" w:rsidRPr="0018236D">
        <w:rPr>
          <w:rFonts w:ascii="Times New Roman" w:hAnsi="Times New Roman" w:cs="Times New Roman"/>
          <w:sz w:val="24"/>
          <w:szCs w:val="24"/>
        </w:rPr>
        <w:t>ἀ</w:t>
      </w:r>
      <w:bookmarkEnd w:id="5"/>
      <w:r w:rsidR="00D03399" w:rsidRPr="0018236D">
        <w:rPr>
          <w:rFonts w:ascii="Bookman Old Style" w:hAnsi="Bookman Old Style" w:cs="Times New Roman"/>
          <w:sz w:val="24"/>
          <w:szCs w:val="24"/>
        </w:rPr>
        <w:t>πορ</w:t>
      </w:r>
      <w:r w:rsidR="00D03399" w:rsidRPr="0018236D">
        <w:rPr>
          <w:rFonts w:ascii="Times New Roman" w:hAnsi="Times New Roman" w:cs="Times New Roman"/>
          <w:sz w:val="24"/>
          <w:szCs w:val="24"/>
        </w:rPr>
        <w:t>ή</w:t>
      </w:r>
      <w:r w:rsidR="00D03399" w:rsidRPr="0018236D">
        <w:rPr>
          <w:rFonts w:ascii="Bookman Old Style" w:hAnsi="Bookman Old Style" w:cs="Times New Roman"/>
          <w:sz w:val="24"/>
          <w:szCs w:val="24"/>
        </w:rPr>
        <w:t xml:space="preserve">ματα) son como preguntarse </w:t>
      </w:r>
      <w:r w:rsidR="00B36EDB" w:rsidRPr="0018236D">
        <w:rPr>
          <w:rFonts w:ascii="Bookman Old Style" w:hAnsi="Bookman Old Style" w:cs="Times New Roman"/>
          <w:sz w:val="24"/>
          <w:szCs w:val="24"/>
        </w:rPr>
        <w:t>(τ</w:t>
      </w:r>
      <w:r w:rsidR="00B36EDB" w:rsidRPr="0018236D">
        <w:rPr>
          <w:rFonts w:ascii="Times New Roman" w:hAnsi="Times New Roman" w:cs="Times New Roman"/>
          <w:sz w:val="24"/>
          <w:szCs w:val="24"/>
        </w:rPr>
        <w:t>ᾣ</w:t>
      </w:r>
      <w:r w:rsidR="00B36EDB" w:rsidRPr="0018236D">
        <w:rPr>
          <w:rFonts w:ascii="Bookman Old Style" w:hAnsi="Bookman Old Style" w:cs="Times New Roman"/>
          <w:sz w:val="24"/>
          <w:szCs w:val="24"/>
        </w:rPr>
        <w:t xml:space="preserve"> </w:t>
      </w:r>
      <w:bookmarkStart w:id="6" w:name="_Hlk488943030"/>
      <w:r w:rsidR="00B36EDB" w:rsidRPr="0018236D">
        <w:rPr>
          <w:rFonts w:ascii="Times New Roman" w:hAnsi="Times New Roman" w:cs="Times New Roman"/>
          <w:sz w:val="24"/>
          <w:szCs w:val="24"/>
        </w:rPr>
        <w:t>ἀ</w:t>
      </w:r>
      <w:r w:rsidR="00B36EDB" w:rsidRPr="0018236D">
        <w:rPr>
          <w:rFonts w:ascii="Bookman Old Style" w:hAnsi="Bookman Old Style" w:cs="Times New Roman"/>
          <w:sz w:val="24"/>
          <w:szCs w:val="24"/>
        </w:rPr>
        <w:t>πορ</w:t>
      </w:r>
      <w:bookmarkEnd w:id="6"/>
      <w:r w:rsidR="00B36EDB" w:rsidRPr="0018236D">
        <w:rPr>
          <w:rFonts w:ascii="Bookman Old Style" w:hAnsi="Bookman Old Style" w:cs="Times New Roman"/>
          <w:sz w:val="24"/>
          <w:szCs w:val="24"/>
        </w:rPr>
        <w:t>ε</w:t>
      </w:r>
      <w:r w:rsidR="00B36EDB" w:rsidRPr="0018236D">
        <w:rPr>
          <w:rFonts w:ascii="Times New Roman" w:hAnsi="Times New Roman" w:cs="Times New Roman"/>
          <w:sz w:val="24"/>
          <w:szCs w:val="24"/>
        </w:rPr>
        <w:t>ῖ</w:t>
      </w:r>
      <w:r w:rsidR="00B36EDB" w:rsidRPr="0018236D">
        <w:rPr>
          <w:rFonts w:ascii="Bookman Old Style" w:hAnsi="Bookman Old Style" w:cs="Times New Roman"/>
          <w:sz w:val="24"/>
          <w:szCs w:val="24"/>
        </w:rPr>
        <w:t xml:space="preserve">ν) </w:t>
      </w:r>
      <w:r w:rsidR="00D03399" w:rsidRPr="0018236D">
        <w:rPr>
          <w:rFonts w:ascii="Bookman Old Style" w:hAnsi="Bookman Old Style" w:cs="Times New Roman"/>
          <w:sz w:val="24"/>
          <w:szCs w:val="24"/>
        </w:rPr>
        <w:t xml:space="preserve">si ahora dormimos o estamos despiertos, y todas las dudas </w:t>
      </w:r>
      <w:r w:rsidR="00B36EDB" w:rsidRPr="0018236D">
        <w:rPr>
          <w:rFonts w:ascii="Bookman Old Style" w:hAnsi="Bookman Old Style" w:cs="Times New Roman"/>
          <w:sz w:val="24"/>
          <w:szCs w:val="24"/>
        </w:rPr>
        <w:t>(</w:t>
      </w:r>
      <w:r w:rsidR="00B36EDB" w:rsidRPr="0018236D">
        <w:rPr>
          <w:rFonts w:ascii="Times New Roman" w:hAnsi="Times New Roman" w:cs="Times New Roman"/>
          <w:sz w:val="24"/>
          <w:szCs w:val="24"/>
        </w:rPr>
        <w:t>ἀ</w:t>
      </w:r>
      <w:r w:rsidR="00B36EDB" w:rsidRPr="0018236D">
        <w:rPr>
          <w:rFonts w:ascii="Bookman Old Style" w:hAnsi="Bookman Old Style" w:cs="Times New Roman"/>
          <w:sz w:val="24"/>
          <w:szCs w:val="24"/>
        </w:rPr>
        <w:t xml:space="preserve">πορίαι) </w:t>
      </w:r>
      <w:r w:rsidR="00D03399" w:rsidRPr="0018236D">
        <w:rPr>
          <w:rFonts w:ascii="Bookman Old Style" w:hAnsi="Bookman Old Style" w:cs="Times New Roman"/>
          <w:sz w:val="24"/>
          <w:szCs w:val="24"/>
        </w:rPr>
        <w:t>de este tipo tienen el mismo alcance”</w:t>
      </w:r>
      <w:r w:rsidR="00D03399" w:rsidRPr="0018236D">
        <w:rPr>
          <w:rStyle w:val="Refdenotaalpie"/>
          <w:rFonts w:ascii="Bookman Old Style" w:hAnsi="Bookman Old Style" w:cs="Times New Roman"/>
          <w:sz w:val="24"/>
          <w:szCs w:val="24"/>
        </w:rPr>
        <w:footnoteReference w:id="47"/>
      </w:r>
      <w:r w:rsidR="00D03399" w:rsidRPr="0018236D">
        <w:rPr>
          <w:rFonts w:ascii="Bookman Old Style" w:hAnsi="Bookman Old Style" w:cs="Times New Roman"/>
          <w:sz w:val="24"/>
          <w:szCs w:val="24"/>
        </w:rPr>
        <w:t xml:space="preserve"> (</w:t>
      </w:r>
      <w:r w:rsidR="00D03399" w:rsidRPr="0018236D">
        <w:rPr>
          <w:rFonts w:ascii="Bookman Old Style" w:hAnsi="Bookman Old Style" w:cs="Times New Roman"/>
          <w:i/>
          <w:sz w:val="24"/>
          <w:szCs w:val="24"/>
        </w:rPr>
        <w:t xml:space="preserve">Metafísica </w:t>
      </w:r>
      <w:r w:rsidR="00D03399" w:rsidRPr="0018236D">
        <w:rPr>
          <w:rFonts w:ascii="Bookman Old Style" w:hAnsi="Bookman Old Style" w:cs="Times New Roman"/>
          <w:sz w:val="24"/>
          <w:szCs w:val="24"/>
        </w:rPr>
        <w:t>1011ª</w:t>
      </w:r>
      <w:r w:rsidR="00F0014B" w:rsidRPr="0018236D">
        <w:rPr>
          <w:rFonts w:ascii="Bookman Old Style" w:hAnsi="Bookman Old Style" w:cs="Times New Roman"/>
          <w:sz w:val="24"/>
          <w:szCs w:val="24"/>
        </w:rPr>
        <w:t>, L. IV, 6</w:t>
      </w:r>
      <w:r w:rsidR="00D03399" w:rsidRPr="0018236D">
        <w:rPr>
          <w:rFonts w:ascii="Bookman Old Style" w:hAnsi="Bookman Old Style" w:cs="Times New Roman"/>
          <w:sz w:val="24"/>
          <w:szCs w:val="24"/>
        </w:rPr>
        <w:t>)</w:t>
      </w:r>
      <w:r w:rsidR="00C17D34" w:rsidRPr="0018236D">
        <w:rPr>
          <w:rFonts w:ascii="Bookman Old Style" w:hAnsi="Bookman Old Style" w:cs="Times New Roman"/>
          <w:sz w:val="24"/>
          <w:szCs w:val="24"/>
        </w:rPr>
        <w:t>.</w:t>
      </w:r>
    </w:p>
    <w:p w:rsidR="00D800AB" w:rsidRPr="0018236D" w:rsidRDefault="00D800AB" w:rsidP="00D800AB">
      <w:pPr>
        <w:spacing w:line="360" w:lineRule="auto"/>
        <w:jc w:val="both"/>
        <w:rPr>
          <w:rFonts w:ascii="Bookman Old Style" w:hAnsi="Bookman Old Style" w:cs="Times New Roman"/>
          <w:sz w:val="24"/>
          <w:szCs w:val="24"/>
        </w:rPr>
      </w:pPr>
      <w:r w:rsidRPr="0018236D">
        <w:rPr>
          <w:rFonts w:ascii="Bookman Old Style" w:hAnsi="Bookman Old Style" w:cs="Times New Roman"/>
          <w:sz w:val="24"/>
          <w:szCs w:val="24"/>
        </w:rPr>
        <w:t xml:space="preserve">La referencia komariana es al término alemán </w:t>
      </w:r>
      <w:r w:rsidRPr="0018236D">
        <w:rPr>
          <w:rFonts w:ascii="Bookman Old Style" w:hAnsi="Bookman Old Style" w:cs="Times New Roman"/>
          <w:i/>
          <w:sz w:val="24"/>
          <w:szCs w:val="24"/>
        </w:rPr>
        <w:t>die Versöhnung</w:t>
      </w:r>
      <w:r w:rsidRPr="0018236D">
        <w:rPr>
          <w:rFonts w:ascii="Bookman Old Style" w:hAnsi="Bookman Old Style" w:cs="Times New Roman"/>
          <w:sz w:val="24"/>
          <w:szCs w:val="24"/>
        </w:rPr>
        <w:t>: Es un término usado hoy para referirse a la confesión pero aquí lo veremos a la luz de la derecha hegeliana que intenta conciliar lo inconciliable: Religión+filosofía hegeliana. Marheinecke volcó en términos teológicos el sistema hegeliano. Komar proponía un trabajo inverso: mostrar todo el resto teológico que todavía queda en Hegel. En él la Filosofía devora a la Teología y repite de esa manera la historia del arrianismo: se fagocita la divinidad de Cristo y todo lo religioso por la Filosofía. J. A. Moehler, al estudiar con Neander- discípulo de Scheleirmacher- ya había advertido esto al estudiar a san Atanasio y la polémica antiarriana.</w:t>
      </w:r>
    </w:p>
    <w:p w:rsidR="00D800AB" w:rsidRPr="0018236D" w:rsidRDefault="00D800AB" w:rsidP="00D800AB">
      <w:pPr>
        <w:spacing w:line="360" w:lineRule="auto"/>
        <w:jc w:val="both"/>
        <w:rPr>
          <w:rFonts w:ascii="Bookman Old Style" w:hAnsi="Bookman Old Style" w:cs="Times New Roman"/>
          <w:sz w:val="24"/>
          <w:szCs w:val="24"/>
        </w:rPr>
      </w:pPr>
      <w:r w:rsidRPr="0018236D">
        <w:rPr>
          <w:rFonts w:ascii="Bookman Old Style" w:hAnsi="Bookman Old Style" w:cs="Times New Roman"/>
          <w:sz w:val="24"/>
          <w:szCs w:val="24"/>
        </w:rPr>
        <w:t>Uno de esos términos que constituye un resto teológico es el de (re)conciliación. Hegel es un espíritu muy clásico y esta conciliación, al ser una armonía restaurada, es algo muy griego.</w:t>
      </w:r>
    </w:p>
    <w:p w:rsidR="00D800AB" w:rsidRPr="0018236D" w:rsidRDefault="00D800AB" w:rsidP="00D800AB">
      <w:pPr>
        <w:spacing w:line="360" w:lineRule="auto"/>
        <w:jc w:val="both"/>
        <w:rPr>
          <w:rFonts w:ascii="Bookman Old Style" w:hAnsi="Bookman Old Style" w:cs="Times New Roman"/>
          <w:sz w:val="24"/>
          <w:szCs w:val="24"/>
        </w:rPr>
      </w:pPr>
      <w:r w:rsidRPr="0018236D">
        <w:rPr>
          <w:rFonts w:ascii="Bookman Old Style" w:hAnsi="Bookman Old Style" w:cs="Times New Roman"/>
          <w:sz w:val="24"/>
          <w:szCs w:val="24"/>
        </w:rPr>
        <w:t xml:space="preserve">Hegel interpreta la conciliación de diversas maneras:a) </w:t>
      </w:r>
      <w:r w:rsidR="00A452E5" w:rsidRPr="0018236D">
        <w:rPr>
          <w:rFonts w:ascii="Bookman Old Style" w:hAnsi="Bookman Old Style" w:cs="Times New Roman"/>
          <w:sz w:val="24"/>
          <w:szCs w:val="24"/>
        </w:rPr>
        <w:t>E</w:t>
      </w:r>
      <w:r w:rsidRPr="0018236D">
        <w:rPr>
          <w:rFonts w:ascii="Bookman Old Style" w:hAnsi="Bookman Old Style" w:cs="Times New Roman"/>
          <w:sz w:val="24"/>
          <w:szCs w:val="24"/>
        </w:rPr>
        <w:t>l individuo se reconcilia con la totalidad anulándose. b) En el conocimiento el objeto se anula y se hace uno con el sujeto. c) Lo divino está en el hombre. d) Al tratar de la tragedia dice que Edipo debe sufrir para expiar los pecados de sus padres. Y finalmente “los dioses que te hicieron sufrir te reconciliarán”. Hay una armonía final.</w:t>
      </w:r>
      <w:r w:rsidR="00B234E3" w:rsidRPr="0018236D">
        <w:rPr>
          <w:rFonts w:ascii="Bookman Old Style" w:hAnsi="Bookman Old Style" w:cs="Times New Roman"/>
          <w:sz w:val="24"/>
          <w:szCs w:val="24"/>
        </w:rPr>
        <w:t xml:space="preserve"> e) “El fin último y el interés de la Filosofía está en reconciliar (versöhnen) el pensamiento, el concepto, con la realidad” (</w:t>
      </w:r>
      <w:r w:rsidR="00B234E3" w:rsidRPr="0018236D">
        <w:rPr>
          <w:rFonts w:ascii="Bookman Old Style" w:hAnsi="Bookman Old Style" w:cs="Times New Roman"/>
          <w:i/>
          <w:sz w:val="24"/>
          <w:szCs w:val="24"/>
        </w:rPr>
        <w:t>Historia de la Filosofía</w:t>
      </w:r>
      <w:r w:rsidR="00B234E3" w:rsidRPr="0018236D">
        <w:rPr>
          <w:rFonts w:ascii="Bookman Old Style" w:hAnsi="Bookman Old Style" w:cs="Times New Roman"/>
          <w:sz w:val="24"/>
          <w:szCs w:val="24"/>
        </w:rPr>
        <w:t>)</w:t>
      </w:r>
    </w:p>
    <w:p w:rsidR="00D800AB" w:rsidRPr="0018236D" w:rsidRDefault="00D800AB" w:rsidP="00D800AB">
      <w:pPr>
        <w:spacing w:line="360" w:lineRule="auto"/>
        <w:jc w:val="both"/>
        <w:rPr>
          <w:rFonts w:ascii="Bookman Old Style" w:hAnsi="Bookman Old Style" w:cs="Times New Roman"/>
          <w:sz w:val="24"/>
          <w:szCs w:val="24"/>
        </w:rPr>
      </w:pPr>
      <w:r w:rsidRPr="0018236D">
        <w:rPr>
          <w:rFonts w:ascii="Bookman Old Style" w:hAnsi="Bookman Old Style" w:cs="Times New Roman"/>
          <w:sz w:val="24"/>
          <w:szCs w:val="24"/>
        </w:rPr>
        <w:t>¿Cuál es el sentido de todas estas reconciliaciones? La conciliación es una necesidad que llega hasta el tiempo y lo que en él se da: y esto incluye principalmente a la Filosofía vigente. Es un intento de conciliación metafísica, no cualquiera.</w:t>
      </w:r>
    </w:p>
    <w:p w:rsidR="00D800AB" w:rsidRPr="0018236D" w:rsidRDefault="00D800AB" w:rsidP="00D800AB">
      <w:pPr>
        <w:spacing w:line="360" w:lineRule="auto"/>
        <w:jc w:val="both"/>
        <w:rPr>
          <w:rFonts w:ascii="Bookman Old Style" w:hAnsi="Bookman Old Style" w:cs="Times New Roman"/>
          <w:sz w:val="24"/>
          <w:szCs w:val="24"/>
        </w:rPr>
      </w:pPr>
      <w:r w:rsidRPr="0018236D">
        <w:rPr>
          <w:rFonts w:ascii="Bookman Old Style" w:hAnsi="Bookman Old Style" w:cs="Times New Roman"/>
          <w:sz w:val="24"/>
          <w:szCs w:val="24"/>
        </w:rPr>
        <w:t>La derecha hegeliana cae en ese fetichismo, hoy tan común, de deber expresarse en el lenguaje de la época. Esta conciliación lleva a la pérdida de todo discernimiento de principios y como la conciliación es antinatural, en la fase siguiente los elementos conciliados se descomponen. La incoherencia trabaja siempre en sentido disolutivo, decía Komar. En el momento crítico los elementos se disuelven. Esto sucedió en el marxismo a cuyo estudio Komar dedicó enormes esfuerzos.</w:t>
      </w:r>
    </w:p>
    <w:p w:rsidR="00D800AB" w:rsidRPr="0018236D" w:rsidRDefault="00D800AB" w:rsidP="00D800AB">
      <w:pPr>
        <w:spacing w:line="360" w:lineRule="auto"/>
        <w:jc w:val="right"/>
        <w:rPr>
          <w:rFonts w:ascii="Bookman Old Style" w:hAnsi="Bookman Old Style" w:cs="Times New Roman"/>
          <w:sz w:val="24"/>
          <w:szCs w:val="24"/>
        </w:rPr>
      </w:pPr>
      <w:r w:rsidRPr="0018236D">
        <w:rPr>
          <w:rFonts w:ascii="Bookman Old Style" w:hAnsi="Bookman Old Style" w:cs="Times New Roman"/>
          <w:sz w:val="24"/>
          <w:szCs w:val="24"/>
        </w:rPr>
        <w:t>Lic. Juan Andres Levermann</w:t>
      </w:r>
    </w:p>
    <w:sectPr w:rsidR="00D800AB" w:rsidRPr="0018236D">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D09" w:rsidRDefault="00232D09" w:rsidP="00083BE9">
      <w:pPr>
        <w:spacing w:after="0" w:line="240" w:lineRule="auto"/>
      </w:pPr>
      <w:r>
        <w:separator/>
      </w:r>
    </w:p>
  </w:endnote>
  <w:endnote w:type="continuationSeparator" w:id="0">
    <w:p w:rsidR="00232D09" w:rsidRDefault="00232D09" w:rsidP="00083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249569"/>
      <w:docPartObj>
        <w:docPartGallery w:val="Page Numbers (Bottom of Page)"/>
        <w:docPartUnique/>
      </w:docPartObj>
    </w:sdtPr>
    <w:sdtEndPr/>
    <w:sdtContent>
      <w:p w:rsidR="001F7C9D" w:rsidRDefault="001F7C9D">
        <w:pPr>
          <w:pStyle w:val="Piedepgina"/>
          <w:jc w:val="center"/>
        </w:pPr>
        <w:r>
          <w:fldChar w:fldCharType="begin"/>
        </w:r>
        <w:r>
          <w:instrText>PAGE   \* MERGEFORMAT</w:instrText>
        </w:r>
        <w:r>
          <w:fldChar w:fldCharType="separate"/>
        </w:r>
        <w:r w:rsidR="0018236D" w:rsidRPr="0018236D">
          <w:rPr>
            <w:noProof/>
            <w:lang w:val="es-ES"/>
          </w:rPr>
          <w:t>1</w:t>
        </w:r>
        <w:r>
          <w:fldChar w:fldCharType="end"/>
        </w:r>
      </w:p>
    </w:sdtContent>
  </w:sdt>
  <w:p w:rsidR="001F7C9D" w:rsidRDefault="001F7C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D09" w:rsidRDefault="00232D09" w:rsidP="00083BE9">
      <w:pPr>
        <w:spacing w:after="0" w:line="240" w:lineRule="auto"/>
      </w:pPr>
      <w:r>
        <w:separator/>
      </w:r>
    </w:p>
  </w:footnote>
  <w:footnote w:type="continuationSeparator" w:id="0">
    <w:p w:rsidR="00232D09" w:rsidRDefault="00232D09" w:rsidP="00083BE9">
      <w:pPr>
        <w:spacing w:after="0" w:line="240" w:lineRule="auto"/>
      </w:pPr>
      <w:r>
        <w:continuationSeparator/>
      </w:r>
    </w:p>
  </w:footnote>
  <w:footnote w:id="1">
    <w:p w:rsidR="001F7C9D" w:rsidRPr="0018236D" w:rsidRDefault="001F7C9D" w:rsidP="00E455EF">
      <w:pPr>
        <w:pStyle w:val="Textonotapie"/>
        <w:rPr>
          <w:rFonts w:ascii="Bookman Old Style" w:hAnsi="Bookman Old Style" w:cs="Times New Roman"/>
        </w:rPr>
      </w:pPr>
      <w:r w:rsidRPr="0018236D">
        <w:rPr>
          <w:rStyle w:val="Refdenotaalpie"/>
          <w:rFonts w:ascii="Bookman Old Style" w:hAnsi="Bookman Old Style" w:cs="Times New Roman"/>
        </w:rPr>
        <w:footnoteRef/>
      </w:r>
      <w:r w:rsidRPr="0018236D">
        <w:rPr>
          <w:rFonts w:ascii="Bookman Old Style" w:hAnsi="Bookman Old Style" w:cs="Times New Roman"/>
        </w:rPr>
        <w:t xml:space="preserve"> A. del Noce, </w:t>
      </w:r>
      <w:r w:rsidRPr="0018236D">
        <w:rPr>
          <w:rFonts w:ascii="Bookman Old Style" w:hAnsi="Bookman Old Style" w:cs="Times New Roman"/>
          <w:i/>
        </w:rPr>
        <w:t>I cattolici e il progresismo</w:t>
      </w:r>
      <w:r w:rsidRPr="0018236D">
        <w:rPr>
          <w:rFonts w:ascii="Bookman Old Style" w:hAnsi="Bookman Old Style" w:cs="Times New Roman"/>
        </w:rPr>
        <w:t>, Leonado, Milano, 1994. P. 154-155</w:t>
      </w:r>
    </w:p>
  </w:footnote>
  <w:footnote w:id="2">
    <w:p w:rsidR="001F7C9D" w:rsidRPr="0018236D" w:rsidRDefault="001F7C9D" w:rsidP="00083BE9">
      <w:pPr>
        <w:pStyle w:val="Textonotapie"/>
        <w:jc w:val="both"/>
        <w:rPr>
          <w:rFonts w:ascii="Bookman Old Style" w:hAnsi="Bookman Old Style" w:cs="Times New Roman"/>
        </w:rPr>
      </w:pPr>
      <w:r w:rsidRPr="0018236D">
        <w:rPr>
          <w:rStyle w:val="Refdenotaalpie"/>
          <w:rFonts w:ascii="Bookman Old Style" w:hAnsi="Bookman Old Style" w:cs="Times New Roman"/>
        </w:rPr>
        <w:footnoteRef/>
      </w:r>
      <w:r w:rsidRPr="0018236D">
        <w:rPr>
          <w:rFonts w:ascii="Bookman Old Style" w:hAnsi="Bookman Old Style" w:cs="Times New Roman"/>
        </w:rPr>
        <w:t xml:space="preserve"> A. del Noce, </w:t>
      </w:r>
      <w:r w:rsidRPr="0018236D">
        <w:rPr>
          <w:rFonts w:ascii="Bookman Old Style" w:hAnsi="Bookman Old Style" w:cs="Times New Roman"/>
          <w:i/>
        </w:rPr>
        <w:t>Il cattolico comunista</w:t>
      </w:r>
      <w:r w:rsidRPr="0018236D">
        <w:rPr>
          <w:rFonts w:ascii="Bookman Old Style" w:hAnsi="Bookman Old Style" w:cs="Times New Roman"/>
        </w:rPr>
        <w:t xml:space="preserve">, Rusconi, Milano, 1981 (P. 317-318). La posición de del Noce se plantea en diálogo crítico y amigable con F. Balbo (Opere 1945-1964. Boringhieri, 1966) y Franco Rodano (Il proceso di formazione della “società opulenta”, 1962). Ya en 1967 se planteaba el tema “Un problema culturale nuovo: il pensiero cattolico dinanzi alla società del benessere” en: </w:t>
      </w:r>
      <w:r w:rsidRPr="0018236D">
        <w:rPr>
          <w:rFonts w:ascii="Bookman Old Style" w:hAnsi="Bookman Old Style" w:cs="Times New Roman"/>
          <w:i/>
        </w:rPr>
        <w:t>I cattolici e il progresismo</w:t>
      </w:r>
      <w:r w:rsidRPr="0018236D">
        <w:rPr>
          <w:rFonts w:ascii="Bookman Old Style" w:hAnsi="Bookman Old Style" w:cs="Times New Roman"/>
        </w:rPr>
        <w:t>, ed. cit., pp. 124 y ss.</w:t>
      </w:r>
    </w:p>
  </w:footnote>
  <w:footnote w:id="3">
    <w:p w:rsidR="001F7C9D" w:rsidRPr="0018236D" w:rsidRDefault="001F7C9D" w:rsidP="00CF7A75">
      <w:pPr>
        <w:pStyle w:val="Textonotapie"/>
        <w:jc w:val="both"/>
        <w:rPr>
          <w:rFonts w:ascii="Bookman Old Style" w:hAnsi="Bookman Old Style" w:cs="Times New Roman"/>
        </w:rPr>
      </w:pPr>
      <w:r w:rsidRPr="0018236D">
        <w:rPr>
          <w:rStyle w:val="Refdenotaalpie"/>
          <w:rFonts w:ascii="Bookman Old Style" w:hAnsi="Bookman Old Style" w:cs="Times New Roman"/>
        </w:rPr>
        <w:footnoteRef/>
      </w:r>
      <w:r w:rsidRPr="0018236D">
        <w:rPr>
          <w:rFonts w:ascii="Bookman Old Style" w:hAnsi="Bookman Old Style" w:cs="Times New Roman"/>
        </w:rPr>
        <w:t xml:space="preserve"> “Opulenta” (a partir del título de Galbraith), tecnocrática (de ascendencia sansimoniana), permisiva (por el rechazo del espíritu ascético al extremo), consumista o del bienestar (se daba por primera vez el éxito de la moral hedonista). Los críticos preferían hablar de nihilismo o de primacía del “tener” (Marcel, Fromm) o de unidimensionalidad (Marcuse).</w:t>
      </w:r>
    </w:p>
  </w:footnote>
  <w:footnote w:id="4">
    <w:p w:rsidR="001F7C9D" w:rsidRPr="0018236D" w:rsidRDefault="001F7C9D" w:rsidP="006E44F1">
      <w:pPr>
        <w:pStyle w:val="Textonotapie"/>
        <w:jc w:val="both"/>
        <w:rPr>
          <w:rFonts w:ascii="Bookman Old Style" w:hAnsi="Bookman Old Style" w:cs="Times New Roman"/>
        </w:rPr>
      </w:pPr>
      <w:r w:rsidRPr="0018236D">
        <w:rPr>
          <w:rStyle w:val="Refdenotaalpie"/>
          <w:rFonts w:ascii="Bookman Old Style" w:hAnsi="Bookman Old Style"/>
        </w:rPr>
        <w:footnoteRef/>
      </w:r>
      <w:r w:rsidRPr="0018236D">
        <w:rPr>
          <w:rFonts w:ascii="Bookman Old Style" w:hAnsi="Bookman Old Style"/>
        </w:rPr>
        <w:t xml:space="preserve"> </w:t>
      </w:r>
      <w:r w:rsidRPr="0018236D">
        <w:rPr>
          <w:rFonts w:ascii="Bookman Old Style" w:hAnsi="Bookman Old Style" w:cs="Times New Roman"/>
        </w:rPr>
        <w:t xml:space="preserve">En otro lugar dice: ”Se ha escrito tanto sobre los caracteres de la sociedad tecnocrática que, en rigor, nada tengo que añadir. Lo que verdaderamente cuenta no son las diversas críticas, sino su </w:t>
      </w:r>
      <w:r w:rsidRPr="0018236D">
        <w:rPr>
          <w:rFonts w:ascii="Bookman Old Style" w:hAnsi="Bookman Old Style" w:cs="Times New Roman"/>
          <w:i/>
        </w:rPr>
        <w:t>orden</w:t>
      </w:r>
      <w:r w:rsidRPr="0018236D">
        <w:rPr>
          <w:rFonts w:ascii="Bookman Old Style" w:hAnsi="Bookman Old Style" w:cs="Times New Roman"/>
        </w:rPr>
        <w:t xml:space="preserve">. Es decir, importa captar la </w:t>
      </w:r>
      <w:r w:rsidRPr="0018236D">
        <w:rPr>
          <w:rFonts w:ascii="Bookman Old Style" w:hAnsi="Bookman Old Style" w:cs="Times New Roman"/>
          <w:i/>
        </w:rPr>
        <w:t xml:space="preserve">necesidad ideal </w:t>
      </w:r>
      <w:r w:rsidRPr="0018236D">
        <w:rPr>
          <w:rFonts w:ascii="Bookman Old Style" w:hAnsi="Bookman Old Style" w:cs="Times New Roman"/>
        </w:rPr>
        <w:t xml:space="preserve">de su aparición”. En: U. Spirito-A. del Noce, </w:t>
      </w:r>
      <w:r w:rsidRPr="0018236D">
        <w:rPr>
          <w:rFonts w:ascii="Bookman Old Style" w:hAnsi="Bookman Old Style" w:cs="Times New Roman"/>
          <w:i/>
        </w:rPr>
        <w:t>¿Ocaso o eclipse de los Valores Tradicionales?</w:t>
      </w:r>
      <w:r w:rsidRPr="0018236D">
        <w:rPr>
          <w:rFonts w:ascii="Bookman Old Style" w:hAnsi="Bookman Old Style" w:cs="Times New Roman"/>
        </w:rPr>
        <w:t xml:space="preserve"> Unión Editorial, Madrid 1972, p. 191.</w:t>
      </w:r>
    </w:p>
  </w:footnote>
  <w:footnote w:id="5">
    <w:p w:rsidR="001F7C9D" w:rsidRPr="0018236D" w:rsidRDefault="001F7C9D">
      <w:pPr>
        <w:pStyle w:val="Textonotapie"/>
        <w:rPr>
          <w:rFonts w:ascii="Bookman Old Style" w:hAnsi="Bookman Old Style" w:cs="Times New Roman"/>
          <w:i/>
        </w:rPr>
      </w:pPr>
      <w:r w:rsidRPr="0018236D">
        <w:rPr>
          <w:rStyle w:val="Refdenotaalpie"/>
          <w:rFonts w:ascii="Bookman Old Style" w:hAnsi="Bookman Old Style" w:cs="Times New Roman"/>
        </w:rPr>
        <w:footnoteRef/>
      </w:r>
      <w:r w:rsidRPr="0018236D">
        <w:rPr>
          <w:rFonts w:ascii="Bookman Old Style" w:hAnsi="Bookman Old Style" w:cs="Times New Roman"/>
        </w:rPr>
        <w:t xml:space="preserve"> </w:t>
      </w:r>
      <w:bookmarkStart w:id="1" w:name="_Hlk488760675"/>
      <w:r w:rsidRPr="0018236D">
        <w:rPr>
          <w:rFonts w:ascii="Bookman Old Style" w:hAnsi="Bookman Old Style" w:cs="Times New Roman"/>
        </w:rPr>
        <w:t xml:space="preserve">A. del Noce, </w:t>
      </w:r>
      <w:r w:rsidRPr="0018236D">
        <w:rPr>
          <w:rFonts w:ascii="Bookman Old Style" w:hAnsi="Bookman Old Style" w:cs="Times New Roman"/>
          <w:i/>
        </w:rPr>
        <w:t xml:space="preserve">L’epoca della secolarizzazione, </w:t>
      </w:r>
      <w:r w:rsidRPr="0018236D">
        <w:rPr>
          <w:rFonts w:ascii="Bookman Old Style" w:hAnsi="Bookman Old Style" w:cs="Times New Roman"/>
        </w:rPr>
        <w:t xml:space="preserve">Giuffrè, Milano 1970, </w:t>
      </w:r>
      <w:bookmarkEnd w:id="1"/>
      <w:r w:rsidRPr="0018236D">
        <w:rPr>
          <w:rFonts w:ascii="Bookman Old Style" w:hAnsi="Bookman Old Style" w:cs="Times New Roman"/>
        </w:rPr>
        <w:t>p. 51</w:t>
      </w:r>
    </w:p>
  </w:footnote>
  <w:footnote w:id="6">
    <w:p w:rsidR="00DB18EA" w:rsidRPr="0018236D" w:rsidRDefault="00DB18EA" w:rsidP="00DB18EA">
      <w:pPr>
        <w:pStyle w:val="Textonotapie"/>
        <w:jc w:val="both"/>
        <w:rPr>
          <w:rFonts w:ascii="Bookman Old Style" w:hAnsi="Bookman Old Style" w:cs="Times New Roman"/>
        </w:rPr>
      </w:pPr>
      <w:r w:rsidRPr="0018236D">
        <w:rPr>
          <w:rStyle w:val="Refdenotaalpie"/>
          <w:rFonts w:ascii="Bookman Old Style" w:hAnsi="Bookman Old Style" w:cs="Times New Roman"/>
        </w:rPr>
        <w:footnoteRef/>
      </w:r>
      <w:r w:rsidRPr="0018236D">
        <w:rPr>
          <w:rFonts w:ascii="Bookman Old Style" w:hAnsi="Bookman Old Style" w:cs="Times New Roman"/>
        </w:rPr>
        <w:t xml:space="preserve"> No hemos podido consultar las obras de Omodeo. En el libro de Auguste Cornu </w:t>
      </w:r>
      <w:r w:rsidRPr="0018236D">
        <w:rPr>
          <w:rFonts w:ascii="Bookman Old Style" w:hAnsi="Bookman Old Style" w:cs="Times New Roman"/>
          <w:i/>
        </w:rPr>
        <w:t xml:space="preserve">Karl Marx et Friedrich Engels, T.III Marx a Paris </w:t>
      </w:r>
      <w:r w:rsidRPr="0018236D">
        <w:rPr>
          <w:rFonts w:ascii="Bookman Old Style" w:hAnsi="Bookman Old Style" w:cs="Times New Roman"/>
        </w:rPr>
        <w:t>(PUF, Paris, 1962) no se hace referencia a este influjo. Se citan las notas de las lecturas de Marx en este período pero con la siguiente salvedad: “El Instituto para el Marxismo-leninismo de Moscú ha indicado que no ha publicado todos los extractos. Puede ser, por otra parte, que los cuadernos de notas se hayan perdido” P.89 n. 3</w:t>
      </w:r>
    </w:p>
  </w:footnote>
  <w:footnote w:id="7">
    <w:p w:rsidR="001F7C9D" w:rsidRPr="0018236D" w:rsidRDefault="001F7C9D" w:rsidP="009766F5">
      <w:pPr>
        <w:pStyle w:val="Textonotapie"/>
        <w:jc w:val="both"/>
        <w:rPr>
          <w:rFonts w:ascii="Bookman Old Style" w:hAnsi="Bookman Old Style" w:cs="Times New Roman"/>
        </w:rPr>
      </w:pPr>
      <w:r w:rsidRPr="0018236D">
        <w:rPr>
          <w:rStyle w:val="Refdenotaalpie"/>
          <w:rFonts w:ascii="Bookman Old Style" w:hAnsi="Bookman Old Style" w:cs="Times New Roman"/>
        </w:rPr>
        <w:footnoteRef/>
      </w:r>
      <w:r w:rsidRPr="0018236D">
        <w:rPr>
          <w:rFonts w:ascii="Bookman Old Style" w:hAnsi="Bookman Old Style" w:cs="Times New Roman"/>
        </w:rPr>
        <w:t xml:space="preserve"> E. Komar, </w:t>
      </w:r>
      <w:r w:rsidRPr="0018236D">
        <w:rPr>
          <w:rFonts w:ascii="Bookman Old Style" w:hAnsi="Bookman Old Style" w:cs="Times New Roman"/>
          <w:i/>
        </w:rPr>
        <w:t>Los</w:t>
      </w:r>
      <w:r w:rsidRPr="0018236D">
        <w:rPr>
          <w:rFonts w:ascii="Bookman Old Style" w:hAnsi="Bookman Old Style" w:cs="Times New Roman"/>
        </w:rPr>
        <w:t xml:space="preserve"> </w:t>
      </w:r>
      <w:r w:rsidRPr="0018236D">
        <w:rPr>
          <w:rFonts w:ascii="Bookman Old Style" w:hAnsi="Bookman Old Style" w:cs="Times New Roman"/>
          <w:i/>
        </w:rPr>
        <w:t>problemas humanos de la sociedad opulenta-Libertad y liberalidad</w:t>
      </w:r>
      <w:r w:rsidRPr="0018236D">
        <w:rPr>
          <w:rFonts w:ascii="Bookman Old Style" w:hAnsi="Bookman Old Style" w:cs="Times New Roman"/>
        </w:rPr>
        <w:t>, Ed. Sabiduría Cristiana, Bs. As., 2017.</w:t>
      </w:r>
    </w:p>
  </w:footnote>
  <w:footnote w:id="8">
    <w:p w:rsidR="001F7C9D" w:rsidRPr="0018236D" w:rsidRDefault="001F7C9D" w:rsidP="00F233BA">
      <w:pPr>
        <w:pStyle w:val="Textonotapie"/>
        <w:jc w:val="both"/>
        <w:rPr>
          <w:rFonts w:ascii="Bookman Old Style" w:hAnsi="Bookman Old Style" w:cs="Times New Roman"/>
        </w:rPr>
      </w:pPr>
      <w:r w:rsidRPr="0018236D">
        <w:rPr>
          <w:rStyle w:val="Refdenotaalpie"/>
          <w:rFonts w:ascii="Bookman Old Style" w:hAnsi="Bookman Old Style" w:cs="Times New Roman"/>
        </w:rPr>
        <w:footnoteRef/>
      </w:r>
      <w:r w:rsidRPr="0018236D">
        <w:rPr>
          <w:rFonts w:ascii="Bookman Old Style" w:hAnsi="Bookman Old Style" w:cs="Times New Roman"/>
        </w:rPr>
        <w:t xml:space="preserve"> Un intento elocuente se encuentra en la obra de L. Kolakovski </w:t>
      </w:r>
      <w:r w:rsidRPr="0018236D">
        <w:rPr>
          <w:rFonts w:ascii="Bookman Old Style" w:hAnsi="Bookman Old Style" w:cs="Times New Roman"/>
          <w:i/>
        </w:rPr>
        <w:t>El hombre sin alternativa</w:t>
      </w:r>
      <w:r w:rsidRPr="0018236D">
        <w:rPr>
          <w:rFonts w:ascii="Bookman Old Style" w:hAnsi="Bookman Old Style" w:cs="Times New Roman"/>
        </w:rPr>
        <w:t>, Alianza, Madrid 1970. Pp. 281 ss.:”El sacerdote y el bufón”. Se pasa revista a numerosas cuestiones teológicas de las cuales la filosofía no ha conseguido liberarse “aunque hoy las formulemos de manera distinta”. Así p. ej. la escatología (Vista como tema antropológico), la teodicea (la razón en la historia), la naturaleza y la gracia (determinismo y responsabilidad), pecado original (utopía) y redención (personalidad), etc. El bufón es el filósofo que pone en duda el Absoluto del sacerdote. ¿Podría hoy el autor sostener esto sin temor a caer en la razón cínica (Sloterdijk) que se burla de todo? Lo dudamos.</w:t>
      </w:r>
    </w:p>
    <w:p w:rsidR="001F7C9D" w:rsidRPr="0018236D" w:rsidRDefault="001F7C9D" w:rsidP="00F233BA">
      <w:pPr>
        <w:pStyle w:val="Textonotapie"/>
        <w:jc w:val="both"/>
        <w:rPr>
          <w:rFonts w:ascii="Bookman Old Style" w:hAnsi="Bookman Old Style" w:cs="Times New Roman"/>
        </w:rPr>
      </w:pPr>
      <w:r w:rsidRPr="0018236D">
        <w:rPr>
          <w:rFonts w:ascii="Bookman Old Style" w:hAnsi="Bookman Old Style" w:cs="Times New Roman"/>
        </w:rPr>
        <w:t xml:space="preserve">Lo de Kolakowski se contrapone al texto del comienzo del </w:t>
      </w:r>
      <w:r w:rsidRPr="0018236D">
        <w:rPr>
          <w:rFonts w:ascii="Bookman Old Style" w:hAnsi="Bookman Old Style" w:cs="Times New Roman"/>
          <w:i/>
        </w:rPr>
        <w:t>Filebo</w:t>
      </w:r>
      <w:r w:rsidRPr="0018236D">
        <w:rPr>
          <w:rFonts w:ascii="Bookman Old Style" w:hAnsi="Bookman Old Style" w:cs="Times New Roman"/>
        </w:rPr>
        <w:t xml:space="preserve"> comentado repetidamente por Komar.</w:t>
      </w:r>
    </w:p>
  </w:footnote>
  <w:footnote w:id="9">
    <w:p w:rsidR="001F7C9D" w:rsidRPr="0018236D" w:rsidRDefault="001F7C9D" w:rsidP="00964232">
      <w:pPr>
        <w:pStyle w:val="Textonotapie"/>
        <w:jc w:val="both"/>
        <w:rPr>
          <w:rFonts w:ascii="Bookman Old Style" w:hAnsi="Bookman Old Style" w:cs="Times New Roman"/>
        </w:rPr>
      </w:pPr>
      <w:r w:rsidRPr="0018236D">
        <w:rPr>
          <w:rStyle w:val="Refdenotaalpie"/>
          <w:rFonts w:ascii="Bookman Old Style" w:hAnsi="Bookman Old Style" w:cs="Times New Roman"/>
        </w:rPr>
        <w:footnoteRef/>
      </w:r>
      <w:r w:rsidRPr="0018236D">
        <w:rPr>
          <w:rFonts w:ascii="Bookman Old Style" w:hAnsi="Bookman Old Style" w:cs="Times New Roman"/>
        </w:rPr>
        <w:t xml:space="preserve"> Sobre la reducción engelsiana de la Filosofía de la Naturaleza  a las ciencias empíricas cfr. G. Wetter, </w:t>
      </w:r>
      <w:r w:rsidRPr="0018236D">
        <w:rPr>
          <w:rFonts w:ascii="Bookman Old Style" w:hAnsi="Bookman Old Style" w:cs="Times New Roman"/>
          <w:i/>
        </w:rPr>
        <w:t>El materialismo dialéctico soviético</w:t>
      </w:r>
      <w:r w:rsidRPr="0018236D">
        <w:rPr>
          <w:rFonts w:ascii="Bookman Old Style" w:hAnsi="Bookman Old Style" w:cs="Times New Roman"/>
        </w:rPr>
        <w:t>, Difusión, Bs. As., 1950. P. 49-53. Engels dedicó ocho años al estudio de las ciencias naturales -ámbito que Marx no conocía especialmente- a fin de probar “en el detalle, ya que en el conjunto no tengo ninguna duda, que en la naturaleza se imponen las mismas leyes dialécticas del movimiento que en la historia” (</w:t>
      </w:r>
      <w:r w:rsidRPr="0018236D">
        <w:rPr>
          <w:rFonts w:ascii="Bookman Old Style" w:hAnsi="Bookman Old Style" w:cs="Times New Roman"/>
          <w:i/>
        </w:rPr>
        <w:t>Anti Dühring)</w:t>
      </w:r>
      <w:r w:rsidRPr="0018236D">
        <w:rPr>
          <w:rFonts w:ascii="Bookman Old Style" w:hAnsi="Bookman Old Style" w:cs="Times New Roman"/>
        </w:rPr>
        <w:t>. Cit. en G. Cottier,</w:t>
      </w:r>
      <w:r w:rsidRPr="0018236D">
        <w:rPr>
          <w:rFonts w:ascii="Bookman Old Style" w:hAnsi="Bookman Old Style" w:cs="Times New Roman"/>
          <w:i/>
        </w:rPr>
        <w:t xml:space="preserve"> Engels</w:t>
      </w:r>
      <w:r w:rsidRPr="0018236D">
        <w:rPr>
          <w:rFonts w:ascii="Bookman Old Style" w:hAnsi="Bookman Old Style" w:cs="Times New Roman"/>
        </w:rPr>
        <w:t xml:space="preserve">. En AAVV, </w:t>
      </w:r>
      <w:r w:rsidRPr="0018236D">
        <w:rPr>
          <w:rFonts w:ascii="Bookman Old Style" w:hAnsi="Bookman Old Style" w:cs="Times New Roman"/>
          <w:i/>
        </w:rPr>
        <w:t>L’athéisme dans la philosophie contemporaine</w:t>
      </w:r>
      <w:r w:rsidRPr="0018236D">
        <w:rPr>
          <w:rFonts w:ascii="Bookman Old Style" w:hAnsi="Bookman Old Style" w:cs="Times New Roman"/>
        </w:rPr>
        <w:t>. Desclée, Paris 1970. P. 202. A ese estudio nos remitimos.</w:t>
      </w:r>
    </w:p>
  </w:footnote>
  <w:footnote w:id="10">
    <w:p w:rsidR="001F7C9D" w:rsidRPr="0018236D" w:rsidRDefault="001F7C9D">
      <w:pPr>
        <w:pStyle w:val="Textonotapie"/>
        <w:rPr>
          <w:rFonts w:ascii="Bookman Old Style" w:hAnsi="Bookman Old Style" w:cs="Times New Roman"/>
        </w:rPr>
      </w:pPr>
      <w:r w:rsidRPr="0018236D">
        <w:rPr>
          <w:rStyle w:val="Refdenotaalpie"/>
          <w:rFonts w:ascii="Bookman Old Style" w:hAnsi="Bookman Old Style" w:cs="Times New Roman"/>
        </w:rPr>
        <w:footnoteRef/>
      </w:r>
      <w:r w:rsidRPr="0018236D">
        <w:rPr>
          <w:rFonts w:ascii="Bookman Old Style" w:hAnsi="Bookman Old Style" w:cs="Times New Roman"/>
        </w:rPr>
        <w:t xml:space="preserve"> Cfr. H. Chambre, </w:t>
      </w:r>
      <w:r w:rsidRPr="0018236D">
        <w:rPr>
          <w:rFonts w:ascii="Bookman Old Style" w:hAnsi="Bookman Old Style" w:cs="Times New Roman"/>
          <w:i/>
        </w:rPr>
        <w:t>De Karl Marx à Mao Tsé-Tung</w:t>
      </w:r>
      <w:r w:rsidRPr="0018236D">
        <w:rPr>
          <w:rFonts w:ascii="Bookman Old Style" w:hAnsi="Bookman Old Style" w:cs="Times New Roman"/>
        </w:rPr>
        <w:t>, Spes, 1959, P. 180 ss.</w:t>
      </w:r>
    </w:p>
  </w:footnote>
  <w:footnote w:id="11">
    <w:p w:rsidR="001F7C9D" w:rsidRPr="0018236D" w:rsidRDefault="001F7C9D">
      <w:pPr>
        <w:pStyle w:val="Textonotapie"/>
        <w:rPr>
          <w:rFonts w:ascii="Bookman Old Style" w:hAnsi="Bookman Old Style"/>
        </w:rPr>
      </w:pPr>
      <w:r w:rsidRPr="0018236D">
        <w:rPr>
          <w:rStyle w:val="Refdenotaalpie"/>
          <w:rFonts w:ascii="Bookman Old Style" w:hAnsi="Bookman Old Style" w:cs="Times New Roman"/>
        </w:rPr>
        <w:footnoteRef/>
      </w:r>
      <w:r w:rsidRPr="0018236D">
        <w:rPr>
          <w:rFonts w:ascii="Bookman Old Style" w:hAnsi="Bookman Old Style" w:cs="Times New Roman"/>
        </w:rPr>
        <w:t xml:space="preserve"> Cfr. R. de Felice, </w:t>
      </w:r>
      <w:r w:rsidRPr="0018236D">
        <w:rPr>
          <w:rFonts w:ascii="Bookman Old Style" w:hAnsi="Bookman Old Style" w:cs="Times New Roman"/>
          <w:i/>
        </w:rPr>
        <w:t>Mussolini il rivoluzionario 1883-1920</w:t>
      </w:r>
      <w:r w:rsidRPr="0018236D">
        <w:rPr>
          <w:rFonts w:ascii="Bookman Old Style" w:hAnsi="Bookman Old Style" w:cs="Times New Roman"/>
        </w:rPr>
        <w:t>, Einaudi, Torino 1995</w:t>
      </w:r>
      <w:r w:rsidRPr="0018236D">
        <w:rPr>
          <w:rFonts w:ascii="Bookman Old Style" w:hAnsi="Bookman Old Style"/>
        </w:rPr>
        <w:t>.</w:t>
      </w:r>
    </w:p>
  </w:footnote>
  <w:footnote w:id="12">
    <w:p w:rsidR="001F7C9D" w:rsidRPr="0018236D" w:rsidRDefault="001F7C9D" w:rsidP="00EF6175">
      <w:pPr>
        <w:pStyle w:val="Textonotapie"/>
        <w:jc w:val="both"/>
        <w:rPr>
          <w:rFonts w:ascii="Bookman Old Style" w:hAnsi="Bookman Old Style" w:cs="Times New Roman"/>
        </w:rPr>
      </w:pPr>
      <w:r w:rsidRPr="0018236D">
        <w:rPr>
          <w:rStyle w:val="Refdenotaalpie"/>
          <w:rFonts w:ascii="Bookman Old Style" w:hAnsi="Bookman Old Style"/>
        </w:rPr>
        <w:footnoteRef/>
      </w:r>
      <w:r w:rsidRPr="0018236D">
        <w:rPr>
          <w:rFonts w:ascii="Bookman Old Style" w:hAnsi="Bookman Old Style"/>
        </w:rPr>
        <w:t xml:space="preserve"> </w:t>
      </w:r>
      <w:r w:rsidRPr="0018236D">
        <w:rPr>
          <w:rFonts w:ascii="Bookman Old Style" w:hAnsi="Bookman Old Style" w:cs="Times New Roman"/>
        </w:rPr>
        <w:t xml:space="preserve">Berdiaev hablaba de los “soldados de la </w:t>
      </w:r>
      <w:r w:rsidRPr="0018236D">
        <w:rPr>
          <w:rFonts w:ascii="Bookman Old Style" w:hAnsi="Bookman Old Style" w:cs="Times New Roman"/>
          <w:i/>
        </w:rPr>
        <w:t>philosophia militans</w:t>
      </w:r>
      <w:r w:rsidRPr="0018236D">
        <w:rPr>
          <w:rFonts w:ascii="Bookman Old Style" w:hAnsi="Bookman Old Style" w:cs="Times New Roman"/>
        </w:rPr>
        <w:t>” refiriéndose a los filósofos soviéticos. “Más que filosofía es una “teología atea”, que utiliza un método más bien teológico: las teorías se fundan sobre la autoridad de una nueva Sagrada Escritura, la que consta de cuatro evangelios canónicos: Marx, Engels, Lenin y Stalin”. Cit. en G. Wetter, op. cit., p. 187</w:t>
      </w:r>
    </w:p>
  </w:footnote>
  <w:footnote w:id="13">
    <w:p w:rsidR="001F7C9D" w:rsidRPr="0018236D" w:rsidRDefault="001F7C9D" w:rsidP="00F8082A">
      <w:pPr>
        <w:pStyle w:val="Textonotapie"/>
        <w:jc w:val="both"/>
        <w:rPr>
          <w:rFonts w:ascii="Bookman Old Style" w:hAnsi="Bookman Old Style" w:cs="Times New Roman"/>
        </w:rPr>
      </w:pPr>
      <w:r w:rsidRPr="0018236D">
        <w:rPr>
          <w:rStyle w:val="Refdenotaalpie"/>
          <w:rFonts w:ascii="Bookman Old Style" w:hAnsi="Bookman Old Style"/>
        </w:rPr>
        <w:footnoteRef/>
      </w:r>
      <w:r w:rsidRPr="0018236D">
        <w:rPr>
          <w:rFonts w:ascii="Bookman Old Style" w:hAnsi="Bookman Old Style"/>
        </w:rPr>
        <w:t xml:space="preserve"> </w:t>
      </w:r>
      <w:r w:rsidRPr="0018236D">
        <w:rPr>
          <w:rFonts w:ascii="Bookman Old Style" w:hAnsi="Bookman Old Style" w:cs="Times New Roman"/>
        </w:rPr>
        <w:t xml:space="preserve">E. Komar, </w:t>
      </w:r>
      <w:r w:rsidRPr="0018236D">
        <w:rPr>
          <w:rFonts w:ascii="Bookman Old Style" w:hAnsi="Bookman Old Style" w:cs="Times New Roman"/>
          <w:i/>
        </w:rPr>
        <w:t>Orden y misterio</w:t>
      </w:r>
      <w:r w:rsidRPr="0018236D">
        <w:rPr>
          <w:rFonts w:ascii="Bookman Old Style" w:hAnsi="Bookman Old Style" w:cs="Times New Roman"/>
        </w:rPr>
        <w:t xml:space="preserve">, EMECE/Fraternitas, Rosario, 1996. P. 79-80. La cita es de K. Kosik, </w:t>
      </w:r>
      <w:r w:rsidRPr="0018236D">
        <w:rPr>
          <w:rFonts w:ascii="Bookman Old Style" w:hAnsi="Bookman Old Style" w:cs="Times New Roman"/>
          <w:i/>
        </w:rPr>
        <w:t>La nostra crisis attuale</w:t>
      </w:r>
      <w:r w:rsidRPr="0018236D">
        <w:rPr>
          <w:rFonts w:ascii="Bookman Old Style" w:hAnsi="Bookman Old Style" w:cs="Times New Roman"/>
        </w:rPr>
        <w:t>, Editore Riuniti, pp. 66-69</w:t>
      </w:r>
    </w:p>
  </w:footnote>
  <w:footnote w:id="14">
    <w:p w:rsidR="001F7C9D" w:rsidRPr="0018236D" w:rsidRDefault="001F7C9D" w:rsidP="000F0142">
      <w:pPr>
        <w:pStyle w:val="Textonotapie"/>
        <w:jc w:val="both"/>
        <w:rPr>
          <w:rFonts w:ascii="Bookman Old Style" w:hAnsi="Bookman Old Style" w:cs="Times New Roman"/>
        </w:rPr>
      </w:pPr>
      <w:r w:rsidRPr="0018236D">
        <w:rPr>
          <w:rStyle w:val="Refdenotaalpie"/>
          <w:rFonts w:ascii="Bookman Old Style" w:hAnsi="Bookman Old Style" w:cs="Times New Roman"/>
        </w:rPr>
        <w:footnoteRef/>
      </w:r>
      <w:r w:rsidRPr="0018236D">
        <w:rPr>
          <w:rFonts w:ascii="Bookman Old Style" w:hAnsi="Bookman Old Style" w:cs="Times New Roman"/>
        </w:rPr>
        <w:t xml:space="preserve"> Komar ilustraba esta “definición” marxista con la imagen de la Avda. Santa Fe una tarde de primavera donde todo el mundo habla, camina, compra y vende. Eso es el hombre en versión marxista: no hay un </w:t>
      </w:r>
      <w:r w:rsidRPr="0018236D">
        <w:rPr>
          <w:rFonts w:ascii="Bookman Old Style" w:hAnsi="Bookman Old Style" w:cs="Times New Roman"/>
          <w:u w:val="single"/>
        </w:rPr>
        <w:t>quién</w:t>
      </w:r>
      <w:r w:rsidRPr="0018236D">
        <w:rPr>
          <w:rFonts w:ascii="Bookman Old Style" w:hAnsi="Bookman Old Style" w:cs="Times New Roman"/>
        </w:rPr>
        <w:t xml:space="preserve"> sujeto de la acción.</w:t>
      </w:r>
    </w:p>
  </w:footnote>
  <w:footnote w:id="15">
    <w:p w:rsidR="001F7C9D" w:rsidRPr="0018236D" w:rsidRDefault="001F7C9D" w:rsidP="00E973E2">
      <w:pPr>
        <w:pStyle w:val="Textonotapie"/>
        <w:jc w:val="both"/>
        <w:rPr>
          <w:rFonts w:ascii="Bookman Old Style" w:hAnsi="Bookman Old Style" w:cs="Times New Roman"/>
          <w:lang w:val="en-US"/>
        </w:rPr>
      </w:pPr>
      <w:r w:rsidRPr="0018236D">
        <w:rPr>
          <w:rStyle w:val="Refdenotaalpie"/>
          <w:rFonts w:ascii="Bookman Old Style" w:hAnsi="Bookman Old Style"/>
        </w:rPr>
        <w:footnoteRef/>
      </w:r>
      <w:r w:rsidRPr="0018236D">
        <w:rPr>
          <w:rFonts w:ascii="Bookman Old Style" w:hAnsi="Bookman Old Style"/>
        </w:rPr>
        <w:t xml:space="preserve"> </w:t>
      </w:r>
      <w:r w:rsidRPr="0018236D">
        <w:rPr>
          <w:rFonts w:ascii="Bookman Old Style" w:hAnsi="Bookman Old Style" w:cs="Times New Roman"/>
        </w:rPr>
        <w:t xml:space="preserve">Sobre el nominalismo teológico actual cfr. A. Spadaro: “Ogni caso è singolare. </w:t>
      </w:r>
      <w:r w:rsidRPr="0018236D">
        <w:rPr>
          <w:rFonts w:ascii="Bookman Old Style" w:hAnsi="Bookman Old Style" w:cs="Times New Roman"/>
          <w:lang w:val="en-US"/>
        </w:rPr>
        <w:t>Non si può dare regola generale che li abbracci tutti né costruire casistica del discernimento #AmorisLaetitia.”Más recientemente:</w:t>
      </w:r>
      <w:r w:rsidRPr="0018236D">
        <w:rPr>
          <w:rFonts w:ascii="Bookman Old Style" w:hAnsi="Bookman Old Style"/>
          <w:lang w:val="en-US"/>
        </w:rPr>
        <w:t xml:space="preserve"> </w:t>
      </w:r>
      <w:r w:rsidRPr="0018236D">
        <w:rPr>
          <w:rFonts w:ascii="Bookman Old Style" w:hAnsi="Bookman Old Style" w:cs="Times New Roman"/>
          <w:lang w:val="en-US"/>
        </w:rPr>
        <w:t>"It is no longer possible to judge people on the basis of a norm that stands above all"</w:t>
      </w:r>
    </w:p>
  </w:footnote>
  <w:footnote w:id="16">
    <w:p w:rsidR="00DB18EA" w:rsidRPr="0018236D" w:rsidRDefault="00DB18EA" w:rsidP="00DB18EA">
      <w:pPr>
        <w:pStyle w:val="Textonotapie"/>
        <w:jc w:val="both"/>
        <w:rPr>
          <w:rFonts w:ascii="Bookman Old Style" w:hAnsi="Bookman Old Style"/>
        </w:rPr>
      </w:pPr>
      <w:r w:rsidRPr="0018236D">
        <w:rPr>
          <w:rStyle w:val="Refdenotaalpie"/>
          <w:rFonts w:ascii="Bookman Old Style" w:hAnsi="Bookman Old Style" w:cs="Times New Roman"/>
        </w:rPr>
        <w:footnoteRef/>
      </w:r>
      <w:r w:rsidRPr="0018236D">
        <w:rPr>
          <w:rFonts w:ascii="Bookman Old Style" w:hAnsi="Bookman Old Style" w:cs="Times New Roman"/>
        </w:rPr>
        <w:t xml:space="preserve"> Citemos algún ejemplo de la inconclusividad de Kosik que nos ayudará a argumentar en la última parte de nuestro trabajo: “El conocimiento del universo y de las leyes naturales es siempre, directa o indirectamente, también conocimiento del hombre y conocimiento de su naturaleza específica. En el siglo XX han contribuido incomparablemente más al conocimiento de la naturaleza específica del hombre los descubrimientos no antropológicos del Wiener (Círculo de Viena JAL) y las nociones de la cibernética que el escrito programático de Scheler </w:t>
      </w:r>
      <w:r w:rsidRPr="0018236D">
        <w:rPr>
          <w:rFonts w:ascii="Bookman Old Style" w:hAnsi="Bookman Old Style" w:cs="Times New Roman"/>
          <w:i/>
        </w:rPr>
        <w:t>El puesto del hombre en el cosmos</w:t>
      </w:r>
      <w:r w:rsidRPr="0018236D">
        <w:rPr>
          <w:rFonts w:ascii="Bookman Old Style" w:hAnsi="Bookman Old Style" w:cs="Times New Roman"/>
        </w:rPr>
        <w:t xml:space="preserve">, y las tesis especulativas de la “antropología filosófica”. K. Kosik, </w:t>
      </w:r>
      <w:r w:rsidRPr="0018236D">
        <w:rPr>
          <w:rFonts w:ascii="Bookman Old Style" w:hAnsi="Bookman Old Style" w:cs="Times New Roman"/>
          <w:i/>
        </w:rPr>
        <w:t>Dialettica del concreto</w:t>
      </w:r>
      <w:r w:rsidRPr="0018236D">
        <w:rPr>
          <w:rFonts w:ascii="Bookman Old Style" w:hAnsi="Bookman Old Style" w:cs="Times New Roman"/>
        </w:rPr>
        <w:t>, Bompiani, Milano 1965. P. 270-271. Todo lo que sea inmutable, invariable o eterno es rechazado de la historia: el absoluto no existe ni antes de la historia ni a su término. (Op. cit., P. 156-157). Aquí se insinúa el relativismo y el historicismo del que hablaba Komar</w:t>
      </w:r>
      <w:r w:rsidRPr="0018236D">
        <w:rPr>
          <w:rFonts w:ascii="Bookman Old Style" w:hAnsi="Bookman Old Style"/>
        </w:rPr>
        <w:t>.</w:t>
      </w:r>
    </w:p>
  </w:footnote>
  <w:footnote w:id="17">
    <w:p w:rsidR="001F7C9D" w:rsidRPr="0018236D" w:rsidRDefault="001F7C9D" w:rsidP="007B7685">
      <w:pPr>
        <w:pStyle w:val="Textonotapie"/>
        <w:jc w:val="both"/>
        <w:rPr>
          <w:rFonts w:ascii="Bookman Old Style" w:hAnsi="Bookman Old Style" w:cs="Times New Roman"/>
        </w:rPr>
      </w:pPr>
      <w:r w:rsidRPr="0018236D">
        <w:rPr>
          <w:rStyle w:val="Refdenotaalpie"/>
          <w:rFonts w:ascii="Bookman Old Style" w:hAnsi="Bookman Old Style"/>
        </w:rPr>
        <w:footnoteRef/>
      </w:r>
      <w:r w:rsidRPr="0018236D">
        <w:rPr>
          <w:rFonts w:ascii="Bookman Old Style" w:hAnsi="Bookman Old Style"/>
        </w:rPr>
        <w:t xml:space="preserve"> </w:t>
      </w:r>
      <w:r w:rsidRPr="0018236D">
        <w:rPr>
          <w:rFonts w:ascii="Bookman Old Style" w:hAnsi="Bookman Old Style" w:cs="Times New Roman"/>
        </w:rPr>
        <w:t xml:space="preserve">Hablando de la inversión de la dialéctica hegeliana y de su concepción dinámica por parte de Marx y Engels, dice G. Wetter:”Más aún: a veces elevan tanto esa dinámica existente en el mundo, que desvalorizan al elemento estático, dando por resultado aquí y allá un verdadero relativismo. Si el mundo consta no ya de objetos sino de procesos, no existen soluciones definitivas ni verdades eternas”. </w:t>
      </w:r>
      <w:r w:rsidRPr="0018236D">
        <w:rPr>
          <w:rFonts w:ascii="Bookman Old Style" w:hAnsi="Bookman Old Style" w:cs="Times New Roman"/>
          <w:i/>
        </w:rPr>
        <w:t>El materialismo dialéctico soviético</w:t>
      </w:r>
      <w:r w:rsidRPr="0018236D">
        <w:rPr>
          <w:rFonts w:ascii="Bookman Old Style" w:hAnsi="Bookman Old Style" w:cs="Times New Roman"/>
        </w:rPr>
        <w:t>, ed. cit., p. 50.</w:t>
      </w:r>
    </w:p>
  </w:footnote>
  <w:footnote w:id="18">
    <w:p w:rsidR="001F7C9D" w:rsidRPr="0018236D" w:rsidRDefault="001F7C9D">
      <w:pPr>
        <w:pStyle w:val="Textonotapie"/>
        <w:rPr>
          <w:rFonts w:ascii="Bookman Old Style" w:hAnsi="Bookman Old Style"/>
        </w:rPr>
      </w:pPr>
      <w:r w:rsidRPr="0018236D">
        <w:rPr>
          <w:rStyle w:val="Refdenotaalpie"/>
          <w:rFonts w:ascii="Bookman Old Style" w:hAnsi="Bookman Old Style"/>
        </w:rPr>
        <w:footnoteRef/>
      </w:r>
      <w:r w:rsidRPr="0018236D">
        <w:rPr>
          <w:rFonts w:ascii="Bookman Old Style" w:hAnsi="Bookman Old Style"/>
        </w:rPr>
        <w:t xml:space="preserve"> </w:t>
      </w:r>
      <w:r w:rsidRPr="0018236D">
        <w:rPr>
          <w:rFonts w:ascii="Bookman Old Style" w:hAnsi="Bookman Old Style" w:cs="Times New Roman"/>
        </w:rPr>
        <w:t xml:space="preserve">K. Marx, </w:t>
      </w:r>
      <w:r w:rsidRPr="0018236D">
        <w:rPr>
          <w:rFonts w:ascii="Bookman Old Style" w:hAnsi="Bookman Old Style" w:cs="Times New Roman"/>
          <w:i/>
        </w:rPr>
        <w:t>Crítica de la Filosofía del derecho de Hegel</w:t>
      </w:r>
      <w:r w:rsidRPr="0018236D">
        <w:rPr>
          <w:rFonts w:ascii="Bookman Old Style" w:hAnsi="Bookman Old Style" w:cs="Times New Roman"/>
        </w:rPr>
        <w:t>, Introducción</w:t>
      </w:r>
      <w:r w:rsidRPr="0018236D">
        <w:rPr>
          <w:rFonts w:ascii="Bookman Old Style" w:hAnsi="Bookman Old Style"/>
        </w:rPr>
        <w:t>.</w:t>
      </w:r>
    </w:p>
  </w:footnote>
  <w:footnote w:id="19">
    <w:p w:rsidR="001F7C9D" w:rsidRPr="0018236D" w:rsidRDefault="001F7C9D">
      <w:pPr>
        <w:pStyle w:val="Textonotapie"/>
        <w:rPr>
          <w:rFonts w:ascii="Bookman Old Style" w:hAnsi="Bookman Old Style" w:cs="Times New Roman"/>
        </w:rPr>
      </w:pPr>
      <w:r w:rsidRPr="0018236D">
        <w:rPr>
          <w:rStyle w:val="Refdenotaalpie"/>
          <w:rFonts w:ascii="Bookman Old Style" w:hAnsi="Bookman Old Style"/>
        </w:rPr>
        <w:footnoteRef/>
      </w:r>
      <w:r w:rsidRPr="0018236D">
        <w:rPr>
          <w:rFonts w:ascii="Bookman Old Style" w:hAnsi="Bookman Old Style"/>
        </w:rPr>
        <w:t xml:space="preserve"> </w:t>
      </w:r>
      <w:r w:rsidRPr="0018236D">
        <w:rPr>
          <w:rFonts w:ascii="Bookman Old Style" w:hAnsi="Bookman Old Style" w:cs="Times New Roman"/>
        </w:rPr>
        <w:t xml:space="preserve">A. del Noce, </w:t>
      </w:r>
      <w:r w:rsidRPr="0018236D">
        <w:rPr>
          <w:rFonts w:ascii="Bookman Old Style" w:hAnsi="Bookman Old Style" w:cs="Times New Roman"/>
          <w:i/>
        </w:rPr>
        <w:t xml:space="preserve">L’epoca della secolarizzazione, </w:t>
      </w:r>
      <w:r w:rsidRPr="0018236D">
        <w:rPr>
          <w:rFonts w:ascii="Bookman Old Style" w:hAnsi="Bookman Old Style" w:cs="Times New Roman"/>
        </w:rPr>
        <w:t>Giuffrè, Milano1970, p. 17.</w:t>
      </w:r>
    </w:p>
  </w:footnote>
  <w:footnote w:id="20">
    <w:p w:rsidR="001F7C9D" w:rsidRPr="0018236D" w:rsidRDefault="001F7C9D">
      <w:pPr>
        <w:pStyle w:val="Textonotapie"/>
        <w:rPr>
          <w:rFonts w:ascii="Bookman Old Style" w:hAnsi="Bookman Old Style" w:cs="Times New Roman"/>
        </w:rPr>
      </w:pPr>
      <w:r w:rsidRPr="0018236D">
        <w:rPr>
          <w:rStyle w:val="Refdenotaalpie"/>
          <w:rFonts w:ascii="Bookman Old Style" w:hAnsi="Bookman Old Style"/>
        </w:rPr>
        <w:footnoteRef/>
      </w:r>
      <w:r w:rsidRPr="0018236D">
        <w:rPr>
          <w:rFonts w:ascii="Bookman Old Style" w:hAnsi="Bookman Old Style" w:cs="Times New Roman"/>
        </w:rPr>
        <w:t xml:space="preserve"> Santo Tomas, </w:t>
      </w:r>
      <w:r w:rsidRPr="0018236D">
        <w:rPr>
          <w:rFonts w:ascii="Bookman Old Style" w:hAnsi="Bookman Old Style" w:cs="Times New Roman"/>
          <w:i/>
        </w:rPr>
        <w:t>In XI Metaph</w:t>
      </w:r>
      <w:r w:rsidRPr="0018236D">
        <w:rPr>
          <w:rFonts w:ascii="Bookman Old Style" w:hAnsi="Bookman Old Style" w:cs="Times New Roman"/>
        </w:rPr>
        <w:t xml:space="preserve">., lect 2ª., n. 2174. </w:t>
      </w:r>
    </w:p>
  </w:footnote>
  <w:footnote w:id="21">
    <w:p w:rsidR="001F18D7" w:rsidRPr="0018236D" w:rsidRDefault="001F18D7" w:rsidP="001F18D7">
      <w:pPr>
        <w:pStyle w:val="Textonotapie"/>
        <w:jc w:val="both"/>
        <w:rPr>
          <w:rFonts w:ascii="Bookman Old Style" w:hAnsi="Bookman Old Style" w:cs="Times New Roman"/>
        </w:rPr>
      </w:pPr>
      <w:r w:rsidRPr="0018236D">
        <w:rPr>
          <w:rStyle w:val="Refdenotaalpie"/>
          <w:rFonts w:ascii="Bookman Old Style" w:hAnsi="Bookman Old Style" w:cs="Times New Roman"/>
        </w:rPr>
        <w:footnoteRef/>
      </w:r>
      <w:r w:rsidRPr="0018236D">
        <w:rPr>
          <w:rFonts w:ascii="Bookman Old Style" w:hAnsi="Bookman Old Style" w:cs="Times New Roman"/>
        </w:rPr>
        <w:t xml:space="preserve"> En Marx el hombre contempla lo que él mismo ha producido:”Se mira a sí mismo en un mundo creado por él” (Sich selbst daher in einer von ihm geschaffenen Welt anschaut). </w:t>
      </w:r>
      <w:r w:rsidRPr="0018236D">
        <w:rPr>
          <w:rFonts w:ascii="Bookman Old Style" w:hAnsi="Bookman Old Style" w:cs="Times New Roman"/>
          <w:i/>
        </w:rPr>
        <w:t>Manuscritos del ’44: El trabajo alienado</w:t>
      </w:r>
      <w:r w:rsidRPr="0018236D">
        <w:rPr>
          <w:rFonts w:ascii="Bookman Old Style" w:hAnsi="Bookman Old Style" w:cs="Times New Roman"/>
        </w:rPr>
        <w:t xml:space="preserve"> XXIV.</w:t>
      </w:r>
    </w:p>
  </w:footnote>
  <w:footnote w:id="22">
    <w:p w:rsidR="001F7C9D" w:rsidRPr="0018236D" w:rsidRDefault="001F7C9D">
      <w:pPr>
        <w:pStyle w:val="Textonotapie"/>
        <w:rPr>
          <w:rFonts w:ascii="Bookman Old Style" w:hAnsi="Bookman Old Style" w:cs="Times New Roman"/>
        </w:rPr>
      </w:pPr>
      <w:r w:rsidRPr="0018236D">
        <w:rPr>
          <w:rStyle w:val="Refdenotaalpie"/>
          <w:rFonts w:ascii="Bookman Old Style" w:hAnsi="Bookman Old Style" w:cs="Times New Roman"/>
        </w:rPr>
        <w:footnoteRef/>
      </w:r>
      <w:r w:rsidRPr="0018236D">
        <w:rPr>
          <w:rFonts w:ascii="Bookman Old Style" w:hAnsi="Bookman Old Style" w:cs="Times New Roman"/>
        </w:rPr>
        <w:t xml:space="preserve"> </w:t>
      </w:r>
      <w:bookmarkStart w:id="2" w:name="_Hlk488330361"/>
      <w:r w:rsidRPr="0018236D">
        <w:rPr>
          <w:rFonts w:ascii="Bookman Old Style" w:hAnsi="Bookman Old Style" w:cs="Times New Roman"/>
        </w:rPr>
        <w:t xml:space="preserve">J. Pieper, </w:t>
      </w:r>
      <w:r w:rsidRPr="0018236D">
        <w:rPr>
          <w:rFonts w:ascii="Bookman Old Style" w:hAnsi="Bookman Old Style" w:cs="Times New Roman"/>
          <w:i/>
        </w:rPr>
        <w:t>Sólo quien ama canta</w:t>
      </w:r>
      <w:r w:rsidRPr="0018236D">
        <w:rPr>
          <w:rFonts w:ascii="Bookman Old Style" w:hAnsi="Bookman Old Style" w:cs="Times New Roman"/>
        </w:rPr>
        <w:t xml:space="preserve">, Encuentro, Madrid,  2015. </w:t>
      </w:r>
      <w:bookmarkEnd w:id="2"/>
      <w:r w:rsidRPr="0018236D">
        <w:rPr>
          <w:rFonts w:ascii="Bookman Old Style" w:hAnsi="Bookman Old Style" w:cs="Times New Roman"/>
        </w:rPr>
        <w:t xml:space="preserve">P. 15-16. Sobre el ocio en el marxismo cfr. E. Voegelin, </w:t>
      </w:r>
      <w:r w:rsidRPr="0018236D">
        <w:rPr>
          <w:rFonts w:ascii="Bookman Old Style" w:hAnsi="Bookman Old Style" w:cs="Times New Roman"/>
          <w:i/>
        </w:rPr>
        <w:t>From Enlightenment to revolution</w:t>
      </w:r>
      <w:r w:rsidRPr="0018236D">
        <w:rPr>
          <w:rFonts w:ascii="Bookman Old Style" w:hAnsi="Bookman Old Style" w:cs="Times New Roman"/>
        </w:rPr>
        <w:t>, Duke University Press, 1975. Pp. 242-244.</w:t>
      </w:r>
    </w:p>
  </w:footnote>
  <w:footnote w:id="23">
    <w:p w:rsidR="003B4D3F" w:rsidRPr="0018236D" w:rsidRDefault="003B4D3F" w:rsidP="003B4D3F">
      <w:pPr>
        <w:pStyle w:val="Textonotapie"/>
        <w:jc w:val="both"/>
        <w:rPr>
          <w:rFonts w:ascii="Bookman Old Style" w:hAnsi="Bookman Old Style" w:cs="Times New Roman"/>
        </w:rPr>
      </w:pPr>
      <w:r w:rsidRPr="0018236D">
        <w:rPr>
          <w:rStyle w:val="Refdenotaalpie"/>
          <w:rFonts w:ascii="Bookman Old Style" w:hAnsi="Bookman Old Style" w:cs="Times New Roman"/>
        </w:rPr>
        <w:footnoteRef/>
      </w:r>
      <w:r w:rsidRPr="0018236D">
        <w:rPr>
          <w:rFonts w:ascii="Bookman Old Style" w:hAnsi="Bookman Old Style" w:cs="Times New Roman"/>
        </w:rPr>
        <w:t xml:space="preserve"> Conviene sin embargo explicitarlo en la voz de Christopher Dawson: ”La educación cristiana era algo que no podía proporcionarse solamente con palabras, sino que comprendía una disciplina total del hombre; un proceso de catarsis e iluminación que se centraba en los misterios sagrados y se incorporaba en un ciclo de acción y simbolismo litúrgico.</w:t>
      </w:r>
    </w:p>
    <w:p w:rsidR="003B4D3F" w:rsidRPr="0018236D" w:rsidRDefault="003B4D3F" w:rsidP="003B4D3F">
      <w:pPr>
        <w:pStyle w:val="Textonotapie"/>
        <w:jc w:val="both"/>
        <w:rPr>
          <w:rFonts w:ascii="Bookman Old Style" w:hAnsi="Bookman Old Style" w:cs="Times New Roman"/>
        </w:rPr>
      </w:pPr>
      <w:r w:rsidRPr="0018236D">
        <w:rPr>
          <w:rFonts w:ascii="Bookman Old Style" w:hAnsi="Bookman Old Style" w:cs="Times New Roman"/>
        </w:rPr>
        <w:t xml:space="preserve">De este modo, la educación cristiana no sólo era una iniciación a la comunidad cristiana, sino también una preparación para otro mundo: el descubrimiento de realidades espirituales de las cuales el hombre vivía inadvertido y que cambiaban el significado de su existencia. Y creo que es aquí donde nuestra educación actual, incluyendo la religiosa, ha resultado deficiente. En ella no existe sentido de revelación”. (C. Dawson, </w:t>
      </w:r>
      <w:r w:rsidRPr="0018236D">
        <w:rPr>
          <w:rFonts w:ascii="Bookman Old Style" w:hAnsi="Bookman Old Style" w:cs="Times New Roman"/>
          <w:i/>
        </w:rPr>
        <w:t>Hacia la comprensión de Europa</w:t>
      </w:r>
      <w:r w:rsidRPr="0018236D">
        <w:rPr>
          <w:rFonts w:ascii="Bookman Old Style" w:hAnsi="Bookman Old Style" w:cs="Times New Roman"/>
        </w:rPr>
        <w:t>, Rialp, Madrid 1953. P. 302. Entre nosotros fue Carlos Disandro quien mostró la continuidad entre el coro de la tragedia griega y la liturgia cristiana.)</w:t>
      </w:r>
    </w:p>
    <w:p w:rsidR="003B4D3F" w:rsidRPr="0018236D" w:rsidRDefault="003B4D3F" w:rsidP="003B4D3F">
      <w:pPr>
        <w:pStyle w:val="Textonotapie"/>
        <w:jc w:val="both"/>
        <w:rPr>
          <w:rFonts w:ascii="Bookman Old Style" w:hAnsi="Bookman Old Style" w:cs="Times New Roman"/>
        </w:rPr>
      </w:pPr>
      <w:r w:rsidRPr="0018236D">
        <w:rPr>
          <w:rFonts w:ascii="Bookman Old Style" w:hAnsi="Bookman Old Style" w:cs="Times New Roman"/>
        </w:rPr>
        <w:t>Históricamente hablando habría que agregar, con el mismo historiador, que si esto es típico de la tradición occidental y bizantina no lo es del período que se abre con la Reforma: ”El ideal humanista de un cultivo completo de las facultades físicas e intelectuales del hombre entró en relación con el ideal protestante (que Troeltsch ha llamado el ascetismo secular o innerweltlich), de santificación mediante el ejercicio diligente de la vocación del hombre y del cumplimiento del deber dentro del estado  de vida en que Dios se había servido llamarlo. Y esto, a su vez, condujo al cultivo de las virtudes económicas de beneficio y laboriosidad y a la adquisición de “conocimientos útiles” como el fin principal de la educación. No puede haber duda de que el utilitarismo secular era el producto directo y el inmediato sucesor del utilitarismo religioso que se desarrolló sobre el suelo de la cultura protestante, y especialmente de la puritana (…)” (Op. Cit., p. 306-307) . Sobre el carácter pragmatista-utilitarista</w:t>
      </w:r>
      <w:r w:rsidR="00D800AB" w:rsidRPr="0018236D">
        <w:rPr>
          <w:rFonts w:ascii="Bookman Old Style" w:hAnsi="Bookman Old Style" w:cs="Times New Roman"/>
        </w:rPr>
        <w:t xml:space="preserve"> de la razón en Lutero cfr. el libro del editor de J. Pieper, Berthold Wald (Hrsg): </w:t>
      </w:r>
      <w:r w:rsidR="00D800AB" w:rsidRPr="0018236D">
        <w:rPr>
          <w:rFonts w:ascii="Bookman Old Style" w:hAnsi="Bookman Old Style" w:cs="Times New Roman"/>
          <w:i/>
        </w:rPr>
        <w:t>Luthers Theologie und Anthropologie im Spiegel seiner Biographie</w:t>
      </w:r>
      <w:r w:rsidR="00D800AB" w:rsidRPr="0018236D">
        <w:rPr>
          <w:rFonts w:ascii="Bookman Old Style" w:hAnsi="Bookman Old Style" w:cs="Times New Roman"/>
        </w:rPr>
        <w:t>. Patrimonium Verlag, Aachen 2015.</w:t>
      </w:r>
    </w:p>
  </w:footnote>
  <w:footnote w:id="24">
    <w:p w:rsidR="001F7C9D" w:rsidRPr="0018236D" w:rsidRDefault="001F7C9D" w:rsidP="006F1984">
      <w:pPr>
        <w:pStyle w:val="Textonotapie"/>
        <w:jc w:val="both"/>
        <w:rPr>
          <w:rFonts w:ascii="Bookman Old Style" w:hAnsi="Bookman Old Style" w:cs="Times New Roman"/>
        </w:rPr>
      </w:pPr>
      <w:r w:rsidRPr="0018236D">
        <w:rPr>
          <w:rStyle w:val="Refdenotaalpie"/>
          <w:rFonts w:ascii="Bookman Old Style" w:hAnsi="Bookman Old Style" w:cs="Times New Roman"/>
        </w:rPr>
        <w:footnoteRef/>
      </w:r>
      <w:r w:rsidRPr="0018236D">
        <w:rPr>
          <w:rFonts w:ascii="Bookman Old Style" w:hAnsi="Bookman Old Style" w:cs="Times New Roman"/>
        </w:rPr>
        <w:t xml:space="preserve"> Véase el comentario de F. Leocata, </w:t>
      </w:r>
      <w:r w:rsidRPr="0018236D">
        <w:rPr>
          <w:rFonts w:ascii="Bookman Old Style" w:hAnsi="Bookman Old Style" w:cs="Times New Roman"/>
          <w:i/>
        </w:rPr>
        <w:t>El conocimiento y la educación hoy</w:t>
      </w:r>
      <w:r w:rsidRPr="0018236D">
        <w:rPr>
          <w:rFonts w:ascii="Bookman Old Style" w:hAnsi="Bookman Old Style" w:cs="Times New Roman"/>
        </w:rPr>
        <w:t>, EDBA, Bs. As, 1996, p. 149-150:”Los motivos antes presentados acerca de la relativa “crisis” de la ubicación de las ciencias en el contexto sociocultural contemporáneo explican por qué, en el planteo actual de temas culturales y educativos, asoma con relativa frecuencia la tendencia acentuar el protagonismo de las ciencias sociales”.</w:t>
      </w:r>
    </w:p>
  </w:footnote>
  <w:footnote w:id="25">
    <w:p w:rsidR="001F7C9D" w:rsidRPr="0018236D" w:rsidRDefault="001F7C9D" w:rsidP="00C00C9D">
      <w:pPr>
        <w:pStyle w:val="Textonotapie"/>
        <w:jc w:val="both"/>
        <w:rPr>
          <w:rFonts w:ascii="Bookman Old Style" w:hAnsi="Bookman Old Style" w:cs="Times New Roman"/>
        </w:rPr>
      </w:pPr>
      <w:r w:rsidRPr="0018236D">
        <w:rPr>
          <w:rStyle w:val="Refdenotaalpie"/>
          <w:rFonts w:ascii="Bookman Old Style" w:hAnsi="Bookman Old Style" w:cs="Times New Roman"/>
        </w:rPr>
        <w:footnoteRef/>
      </w:r>
      <w:r w:rsidRPr="0018236D">
        <w:rPr>
          <w:rFonts w:ascii="Bookman Old Style" w:hAnsi="Bookman Old Style" w:cs="Times New Roman"/>
        </w:rPr>
        <w:t xml:space="preserve"> A. del Noce, </w:t>
      </w:r>
      <w:r w:rsidRPr="0018236D">
        <w:rPr>
          <w:rFonts w:ascii="Bookman Old Style" w:hAnsi="Bookman Old Style" w:cs="Times New Roman"/>
          <w:i/>
        </w:rPr>
        <w:t>I cattolici e il progressismo</w:t>
      </w:r>
      <w:r w:rsidRPr="0018236D">
        <w:rPr>
          <w:rFonts w:ascii="Bookman Old Style" w:hAnsi="Bookman Old Style" w:cs="Times New Roman"/>
        </w:rPr>
        <w:t xml:space="preserve">, ed. cit., p. 203, n. 6. A la luz de estas consideraciones el cambio de nombre del Instituto para la familia fundado por Juan Pablo II por el nuevo Pontificio Instituto Teológico Juan Pablo II para </w:t>
      </w:r>
      <w:r w:rsidRPr="0018236D">
        <w:rPr>
          <w:rFonts w:ascii="Bookman Old Style" w:hAnsi="Bookman Old Style" w:cs="Times New Roman"/>
          <w:u w:val="single"/>
        </w:rPr>
        <w:t>las Ciencias del Matrimonio y la Familia</w:t>
      </w:r>
      <w:r w:rsidRPr="0018236D">
        <w:rPr>
          <w:rFonts w:ascii="Bookman Old Style" w:hAnsi="Bookman Old Style" w:cs="Times New Roman"/>
        </w:rPr>
        <w:t xml:space="preserve"> no puede ser sino inquietante.</w:t>
      </w:r>
    </w:p>
  </w:footnote>
  <w:footnote w:id="26">
    <w:p w:rsidR="001F7C9D" w:rsidRPr="0018236D" w:rsidRDefault="001F7C9D" w:rsidP="00E876AD">
      <w:pPr>
        <w:pStyle w:val="Textonotapie"/>
        <w:jc w:val="both"/>
        <w:rPr>
          <w:rFonts w:ascii="Bookman Old Style" w:hAnsi="Bookman Old Style" w:cs="Times New Roman"/>
        </w:rPr>
      </w:pPr>
      <w:r w:rsidRPr="0018236D">
        <w:rPr>
          <w:rStyle w:val="Refdenotaalpie"/>
          <w:rFonts w:ascii="Bookman Old Style" w:hAnsi="Bookman Old Style" w:cs="Times New Roman"/>
        </w:rPr>
        <w:footnoteRef/>
      </w:r>
      <w:r w:rsidRPr="0018236D">
        <w:rPr>
          <w:rFonts w:ascii="Bookman Old Style" w:hAnsi="Bookman Old Style" w:cs="Times New Roman"/>
        </w:rPr>
        <w:t xml:space="preserve"> Cfr. A. del Noce, </w:t>
      </w:r>
      <w:r w:rsidRPr="0018236D">
        <w:rPr>
          <w:rFonts w:ascii="Bookman Old Style" w:hAnsi="Bookman Old Style" w:cs="Times New Roman"/>
          <w:i/>
        </w:rPr>
        <w:t>¿Ocaso o eclipse de los valores tradicionales?</w:t>
      </w:r>
      <w:r w:rsidRPr="0018236D">
        <w:rPr>
          <w:rFonts w:ascii="Bookman Old Style" w:hAnsi="Bookman Old Style" w:cs="Times New Roman"/>
        </w:rPr>
        <w:t xml:space="preserve">, ed. cit., p. 81 ss. Así caracteriza Horkheimer la razón objetiva:“Mientras el conocimiento religioso y el conocimiento del mundo no estaban aún separados y el ordenamiento terreno se consideraba instituido también por Dios, la ciencia tuvo validez objetiva. La estructura del universo que los hombres pretendían llegar a conocer era su estructura verdadera; los conceptos capitales reflejaban relaciones objetivas, auténticas ideas según las cuales Dios había creado la naturaleza, el hombre y la sociedad. Esta concepción hizo quiebra con el nominalismo.” M. Horkheimer, </w:t>
      </w:r>
      <w:r w:rsidRPr="0018236D">
        <w:rPr>
          <w:rFonts w:ascii="Bookman Old Style" w:hAnsi="Bookman Old Style" w:cs="Times New Roman"/>
          <w:i/>
        </w:rPr>
        <w:t>Historia. Metafísica y  Escepticismo</w:t>
      </w:r>
      <w:r w:rsidRPr="0018236D">
        <w:rPr>
          <w:rFonts w:ascii="Bookman Old Style" w:hAnsi="Bookman Old Style" w:cs="Times New Roman"/>
        </w:rPr>
        <w:t xml:space="preserve">. Alianza, Madrid, 1982. P. 157. En cuanto a la razón subjetiva, el texto clásico es de la </w:t>
      </w:r>
      <w:r w:rsidRPr="0018236D">
        <w:rPr>
          <w:rFonts w:ascii="Bookman Old Style" w:hAnsi="Bookman Old Style" w:cs="Times New Roman"/>
          <w:i/>
        </w:rPr>
        <w:t xml:space="preserve">Crítica de la razón instrumental </w:t>
      </w:r>
      <w:r w:rsidRPr="0018236D">
        <w:rPr>
          <w:rFonts w:ascii="Bookman Old Style" w:hAnsi="Bookman Old Style" w:cs="Times New Roman"/>
        </w:rPr>
        <w:t>(Sur, 1973):</w:t>
      </w:r>
      <w:r w:rsidRPr="0018236D">
        <w:rPr>
          <w:rFonts w:ascii="Bookman Old Style" w:hAnsi="Bookman Old Style"/>
        </w:rPr>
        <w:t>“</w:t>
      </w:r>
      <w:r w:rsidRPr="0018236D">
        <w:rPr>
          <w:rFonts w:ascii="Bookman Old Style" w:hAnsi="Bookman Old Style" w:cs="Times New Roman"/>
        </w:rPr>
        <w:t>Pero el poder que, en última instancia, posibilita los actos razonables, es la capacidad de clasificación, de conclusión y deducción, sin reparar en qué consiste en cada caso el contenido específico, o sea el funcionamiento abstracto del mecanismo pensante. Esta especie de razón puede designarse como razón subjetiva. Ella tiene que habérselas esencialmente con medios y fines, con la adecuación de modos de procedimiento a fines que son más o menos aceptados y que presuntamente se sobreentienden. Poca importancia tiene para ella la cuestión de si los objetivos como tales son razonables o no, Si de todos modos se ocupa de fines, da por descontado que también éstos son racionales en un sentido subjetivo, es decir, que sirven a los intereses del sujeto con miras a su autoconservación, ya se trate de la autoconservación del individuo solo o de la comunidad, de cuya perdurabilidad depende la del individuo”</w:t>
      </w:r>
    </w:p>
  </w:footnote>
  <w:footnote w:id="27">
    <w:p w:rsidR="001F7C9D" w:rsidRPr="0018236D" w:rsidRDefault="001F7C9D">
      <w:pPr>
        <w:pStyle w:val="Textonotapie"/>
        <w:rPr>
          <w:rFonts w:ascii="Bookman Old Style" w:hAnsi="Bookman Old Style" w:cs="Times New Roman"/>
          <w:lang w:val="en-US"/>
        </w:rPr>
      </w:pPr>
      <w:r w:rsidRPr="0018236D">
        <w:rPr>
          <w:rStyle w:val="Refdenotaalpie"/>
          <w:rFonts w:ascii="Bookman Old Style" w:hAnsi="Bookman Old Style" w:cs="Times New Roman"/>
        </w:rPr>
        <w:footnoteRef/>
      </w:r>
      <w:r w:rsidRPr="0018236D">
        <w:rPr>
          <w:rFonts w:ascii="Bookman Old Style" w:hAnsi="Bookman Old Style" w:cs="Times New Roman"/>
          <w:lang w:val="en-US"/>
        </w:rPr>
        <w:t xml:space="preserve"> E. Voegelin, </w:t>
      </w:r>
      <w:r w:rsidRPr="0018236D">
        <w:rPr>
          <w:rFonts w:ascii="Bookman Old Style" w:hAnsi="Bookman Old Style" w:cs="Times New Roman"/>
          <w:i/>
          <w:lang w:val="en-US"/>
        </w:rPr>
        <w:t>From Enlightenment to Revolution</w:t>
      </w:r>
      <w:r w:rsidRPr="0018236D">
        <w:rPr>
          <w:rFonts w:ascii="Bookman Old Style" w:hAnsi="Bookman Old Style" w:cs="Times New Roman"/>
          <w:lang w:val="en-US"/>
        </w:rPr>
        <w:t>, ed. cit., p. 266.</w:t>
      </w:r>
    </w:p>
  </w:footnote>
  <w:footnote w:id="28">
    <w:p w:rsidR="0018236D" w:rsidRPr="0018236D" w:rsidRDefault="0018236D">
      <w:pPr>
        <w:pStyle w:val="Textonotapie"/>
        <w:rPr>
          <w:rFonts w:ascii="Bookman Old Style" w:hAnsi="Bookman Old Style"/>
        </w:rPr>
      </w:pPr>
      <w:r w:rsidRPr="0018236D">
        <w:rPr>
          <w:rStyle w:val="Refdenotaalpie"/>
          <w:rFonts w:ascii="Bookman Old Style" w:hAnsi="Bookman Old Style"/>
        </w:rPr>
        <w:footnoteRef/>
      </w:r>
      <w:r w:rsidRPr="0018236D">
        <w:rPr>
          <w:rFonts w:ascii="Bookman Old Style" w:hAnsi="Bookman Old Style"/>
        </w:rPr>
        <w:t xml:space="preserve"> </w:t>
      </w:r>
      <w:r w:rsidRPr="0018236D">
        <w:rPr>
          <w:rFonts w:ascii="Bookman Old Style" w:hAnsi="Bookman Old Style" w:cs="Times New Roman"/>
        </w:rPr>
        <w:t xml:space="preserve"> Op. cit., p. 267</w:t>
      </w:r>
    </w:p>
  </w:footnote>
  <w:footnote w:id="29">
    <w:p w:rsidR="001F7C9D" w:rsidRPr="0018236D" w:rsidRDefault="001F7C9D" w:rsidP="00111508">
      <w:pPr>
        <w:pStyle w:val="Textonotapie"/>
        <w:jc w:val="both"/>
        <w:rPr>
          <w:rFonts w:ascii="Bookman Old Style" w:hAnsi="Bookman Old Style" w:cs="Times New Roman"/>
        </w:rPr>
      </w:pPr>
      <w:r w:rsidRPr="0018236D">
        <w:rPr>
          <w:rStyle w:val="Refdenotaalpie"/>
          <w:rFonts w:ascii="Bookman Old Style" w:hAnsi="Bookman Old Style" w:cs="Times New Roman"/>
        </w:rPr>
        <w:footnoteRef/>
      </w:r>
      <w:r w:rsidRPr="0018236D">
        <w:rPr>
          <w:rFonts w:ascii="Bookman Old Style" w:hAnsi="Bookman Old Style" w:cs="Times New Roman"/>
        </w:rPr>
        <w:t xml:space="preserve"> Cfr. J. Ellul, </w:t>
      </w:r>
      <w:r w:rsidRPr="0018236D">
        <w:rPr>
          <w:rFonts w:ascii="Bookman Old Style" w:hAnsi="Bookman Old Style" w:cs="Times New Roman"/>
          <w:i/>
        </w:rPr>
        <w:t>Autopsia de la revolución</w:t>
      </w:r>
      <w:r w:rsidRPr="0018236D">
        <w:rPr>
          <w:rFonts w:ascii="Bookman Old Style" w:hAnsi="Bookman Old Style" w:cs="Times New Roman"/>
        </w:rPr>
        <w:t xml:space="preserve">, Unión Editorial, Madrid 1973, p. 125-185 (Las revoluciones en el sentido de la historia). Cfr. A del Noce-J. A Riestra, </w:t>
      </w:r>
      <w:r w:rsidRPr="0018236D">
        <w:rPr>
          <w:rFonts w:ascii="Bookman Old Style" w:hAnsi="Bookman Old Style" w:cs="Times New Roman"/>
          <w:i/>
        </w:rPr>
        <w:t>Karl Marx: Escritos juveniles</w:t>
      </w:r>
      <w:r w:rsidRPr="0018236D">
        <w:rPr>
          <w:rFonts w:ascii="Bookman Old Style" w:hAnsi="Bookman Old Style" w:cs="Times New Roman"/>
        </w:rPr>
        <w:t>, EMESA, 1980. P.158</w:t>
      </w:r>
    </w:p>
  </w:footnote>
  <w:footnote w:id="30">
    <w:p w:rsidR="001F7C9D" w:rsidRPr="0018236D" w:rsidRDefault="001F7C9D">
      <w:pPr>
        <w:pStyle w:val="Textonotapie"/>
        <w:rPr>
          <w:rFonts w:ascii="Bookman Old Style" w:hAnsi="Bookman Old Style" w:cs="Times New Roman"/>
        </w:rPr>
      </w:pPr>
      <w:r w:rsidRPr="0018236D">
        <w:rPr>
          <w:rStyle w:val="Refdenotaalpie"/>
          <w:rFonts w:ascii="Bookman Old Style" w:hAnsi="Bookman Old Style" w:cs="Times New Roman"/>
        </w:rPr>
        <w:footnoteRef/>
      </w:r>
      <w:r w:rsidRPr="0018236D">
        <w:rPr>
          <w:rFonts w:ascii="Bookman Old Style" w:hAnsi="Bookman Old Style" w:cs="Times New Roman"/>
        </w:rPr>
        <w:t xml:space="preserve"> Cfr. H. de Lubac, </w:t>
      </w:r>
      <w:r w:rsidRPr="0018236D">
        <w:rPr>
          <w:rFonts w:ascii="Bookman Old Style" w:hAnsi="Bookman Old Style" w:cs="Times New Roman"/>
          <w:i/>
        </w:rPr>
        <w:t>Proudhon et le christianisme</w:t>
      </w:r>
      <w:r w:rsidRPr="0018236D">
        <w:rPr>
          <w:rFonts w:ascii="Bookman Old Style" w:hAnsi="Bookman Old Style" w:cs="Times New Roman"/>
        </w:rPr>
        <w:t>, Du Seuil, 1945, espec. Cap. 3, I y II.</w:t>
      </w:r>
    </w:p>
  </w:footnote>
  <w:footnote w:id="31">
    <w:p w:rsidR="001F7C9D" w:rsidRPr="0018236D" w:rsidRDefault="001F7C9D" w:rsidP="00B54E01">
      <w:pPr>
        <w:pStyle w:val="Textonotapie"/>
        <w:jc w:val="both"/>
        <w:rPr>
          <w:rFonts w:ascii="Bookman Old Style" w:hAnsi="Bookman Old Style" w:cs="Times New Roman"/>
        </w:rPr>
      </w:pPr>
      <w:r w:rsidRPr="0018236D">
        <w:rPr>
          <w:rStyle w:val="Refdenotaalpie"/>
          <w:rFonts w:ascii="Bookman Old Style" w:hAnsi="Bookman Old Style" w:cs="Times New Roman"/>
        </w:rPr>
        <w:footnoteRef/>
      </w:r>
      <w:r w:rsidRPr="0018236D">
        <w:rPr>
          <w:rFonts w:ascii="Bookman Old Style" w:hAnsi="Bookman Old Style" w:cs="Times New Roman"/>
        </w:rPr>
        <w:t xml:space="preserve"> “No es casualidad que Marx, a medida que avanza su obra, aumente el peso de los factores objetivos y describa cada vez más implacablemente mecanismos en los que el hombre apenas si tiene sitio. En el aspecto final de su obra, la revolución se considera cada vez menos como relaciones entre personas (¡aunque fuesen clases!), un juego entre filosofía y socialismo, y se convierte en el fruto de fuerzas objetivas, en que las cosas y sus necesidades inmanentes desempeñan el papel dominante”. J. Ellul, </w:t>
      </w:r>
      <w:r w:rsidRPr="0018236D">
        <w:rPr>
          <w:rFonts w:ascii="Bookman Old Style" w:hAnsi="Bookman Old Style" w:cs="Times New Roman"/>
          <w:i/>
        </w:rPr>
        <w:t>op. cit</w:t>
      </w:r>
      <w:r w:rsidRPr="0018236D">
        <w:rPr>
          <w:rFonts w:ascii="Bookman Old Style" w:hAnsi="Bookman Old Style" w:cs="Times New Roman"/>
        </w:rPr>
        <w:t>., p. 134-5.</w:t>
      </w:r>
    </w:p>
  </w:footnote>
  <w:footnote w:id="32">
    <w:p w:rsidR="001F7C9D" w:rsidRPr="0018236D" w:rsidRDefault="001F7C9D">
      <w:pPr>
        <w:pStyle w:val="Textonotapie"/>
        <w:rPr>
          <w:rFonts w:ascii="Bookman Old Style" w:hAnsi="Bookman Old Style" w:cs="Times New Roman"/>
        </w:rPr>
      </w:pPr>
      <w:r w:rsidRPr="0018236D">
        <w:rPr>
          <w:rStyle w:val="Refdenotaalpie"/>
          <w:rFonts w:ascii="Bookman Old Style" w:hAnsi="Bookman Old Style" w:cs="Times New Roman"/>
        </w:rPr>
        <w:footnoteRef/>
      </w:r>
      <w:r w:rsidRPr="0018236D">
        <w:rPr>
          <w:rFonts w:ascii="Bookman Old Style" w:hAnsi="Bookman Old Style" w:cs="Times New Roman"/>
        </w:rPr>
        <w:t xml:space="preserve"> Cfr. A. del Noce, </w:t>
      </w:r>
      <w:r w:rsidRPr="0018236D">
        <w:rPr>
          <w:rFonts w:ascii="Bookman Old Style" w:hAnsi="Bookman Old Style" w:cs="Times New Roman"/>
          <w:i/>
        </w:rPr>
        <w:t>Italia y el eurocomunismo: una estrategia para Occidente</w:t>
      </w:r>
      <w:r w:rsidRPr="0018236D">
        <w:rPr>
          <w:rFonts w:ascii="Bookman Old Style" w:hAnsi="Bookman Old Style" w:cs="Times New Roman"/>
        </w:rPr>
        <w:t>, EMESA, 1977, p. 159 ss. (El estalinismo)</w:t>
      </w:r>
    </w:p>
  </w:footnote>
  <w:footnote w:id="33">
    <w:p w:rsidR="001F7C9D" w:rsidRPr="0018236D" w:rsidRDefault="001F7C9D">
      <w:pPr>
        <w:pStyle w:val="Textonotapie"/>
        <w:rPr>
          <w:rFonts w:ascii="Bookman Old Style" w:hAnsi="Bookman Old Style" w:cs="Times New Roman"/>
        </w:rPr>
      </w:pPr>
      <w:r w:rsidRPr="0018236D">
        <w:rPr>
          <w:rStyle w:val="Refdenotaalpie"/>
          <w:rFonts w:ascii="Bookman Old Style" w:hAnsi="Bookman Old Style" w:cs="Times New Roman"/>
        </w:rPr>
        <w:footnoteRef/>
      </w:r>
      <w:r w:rsidRPr="0018236D">
        <w:rPr>
          <w:rFonts w:ascii="Bookman Old Style" w:hAnsi="Bookman Old Style" w:cs="Times New Roman"/>
        </w:rPr>
        <w:t xml:space="preserve"> Cfr. J. Fest, </w:t>
      </w:r>
      <w:r w:rsidRPr="0018236D">
        <w:rPr>
          <w:rFonts w:ascii="Bookman Old Style" w:hAnsi="Bookman Old Style" w:cs="Times New Roman"/>
          <w:i/>
        </w:rPr>
        <w:t>Hitler</w:t>
      </w:r>
      <w:r w:rsidRPr="0018236D">
        <w:rPr>
          <w:rFonts w:ascii="Bookman Old Style" w:hAnsi="Bookman Old Style" w:cs="Times New Roman"/>
        </w:rPr>
        <w:t xml:space="preserve">. </w:t>
      </w:r>
      <w:r w:rsidRPr="0018236D">
        <w:rPr>
          <w:rFonts w:ascii="Bookman Old Style" w:hAnsi="Bookman Old Style" w:cs="Times New Roman"/>
          <w:i/>
        </w:rPr>
        <w:t>Eine Biographie.</w:t>
      </w:r>
      <w:r w:rsidRPr="0018236D">
        <w:rPr>
          <w:rFonts w:ascii="Bookman Old Style" w:hAnsi="Bookman Old Style" w:cs="Times New Roman"/>
        </w:rPr>
        <w:t xml:space="preserve"> Ullstein, 1973. P. 619-660</w:t>
      </w:r>
    </w:p>
  </w:footnote>
  <w:footnote w:id="34">
    <w:p w:rsidR="001F7C9D" w:rsidRPr="0018236D" w:rsidRDefault="001F7C9D" w:rsidP="00773567">
      <w:pPr>
        <w:pStyle w:val="Textonotapie"/>
        <w:jc w:val="both"/>
        <w:rPr>
          <w:rFonts w:ascii="Bookman Old Style" w:hAnsi="Bookman Old Style" w:cs="Times New Roman"/>
        </w:rPr>
      </w:pPr>
      <w:r w:rsidRPr="0018236D">
        <w:rPr>
          <w:rStyle w:val="Refdenotaalpie"/>
          <w:rFonts w:ascii="Bookman Old Style" w:hAnsi="Bookman Old Style" w:cs="Times New Roman"/>
        </w:rPr>
        <w:footnoteRef/>
      </w:r>
      <w:r w:rsidRPr="0018236D">
        <w:rPr>
          <w:rFonts w:ascii="Bookman Old Style" w:hAnsi="Bookman Old Style" w:cs="Times New Roman"/>
        </w:rPr>
        <w:t xml:space="preserve"> Cfr. R. de Felice, </w:t>
      </w:r>
      <w:r w:rsidRPr="0018236D">
        <w:rPr>
          <w:rFonts w:ascii="Bookman Old Style" w:hAnsi="Bookman Old Style" w:cs="Times New Roman"/>
          <w:i/>
        </w:rPr>
        <w:t xml:space="preserve">Mussolini il fascista. </w:t>
      </w:r>
      <w:r w:rsidRPr="0018236D">
        <w:rPr>
          <w:rFonts w:ascii="Bookman Old Style" w:hAnsi="Bookman Old Style" w:cs="Times New Roman"/>
        </w:rPr>
        <w:t>II, Einaudi,Torino 1995. Espec. p. 60-69 y el Anexo 4 con cartas.</w:t>
      </w:r>
    </w:p>
  </w:footnote>
  <w:footnote w:id="35">
    <w:p w:rsidR="001F7C9D" w:rsidRPr="0018236D" w:rsidRDefault="001F7C9D" w:rsidP="006A066B">
      <w:pPr>
        <w:pStyle w:val="Textonotapie"/>
        <w:jc w:val="both"/>
        <w:rPr>
          <w:rFonts w:ascii="Bookman Old Style" w:hAnsi="Bookman Old Style" w:cs="Times New Roman"/>
        </w:rPr>
      </w:pPr>
      <w:r w:rsidRPr="0018236D">
        <w:rPr>
          <w:rStyle w:val="Refdenotaalpie"/>
          <w:rFonts w:ascii="Bookman Old Style" w:hAnsi="Bookman Old Style" w:cs="Times New Roman"/>
        </w:rPr>
        <w:footnoteRef/>
      </w:r>
      <w:r w:rsidRPr="0018236D">
        <w:rPr>
          <w:rFonts w:ascii="Bookman Old Style" w:hAnsi="Bookman Old Style" w:cs="Times New Roman"/>
        </w:rPr>
        <w:t xml:space="preserve"> Cfr. A. del Noce, </w:t>
      </w:r>
      <w:r w:rsidRPr="0018236D">
        <w:rPr>
          <w:rFonts w:ascii="Bookman Old Style" w:hAnsi="Bookman Old Style" w:cs="Times New Roman"/>
          <w:i/>
        </w:rPr>
        <w:t>Appunti sull’irreligione occidentale</w:t>
      </w:r>
      <w:r w:rsidRPr="0018236D">
        <w:rPr>
          <w:rFonts w:ascii="Bookman Old Style" w:hAnsi="Bookman Old Style" w:cs="Times New Roman"/>
        </w:rPr>
        <w:t xml:space="preserve">. Resumidamente en A. del Noce </w:t>
      </w:r>
      <w:r w:rsidRPr="0018236D">
        <w:rPr>
          <w:rFonts w:ascii="Bookman Old Style" w:hAnsi="Bookman Old Style" w:cs="Times New Roman"/>
          <w:i/>
        </w:rPr>
        <w:t>¿Ocaso o eclipse…?</w:t>
      </w:r>
      <w:r w:rsidRPr="0018236D">
        <w:rPr>
          <w:rFonts w:ascii="Bookman Old Style" w:hAnsi="Bookman Old Style" w:cs="Times New Roman"/>
        </w:rPr>
        <w:t>ed. cit., p. 100-102</w:t>
      </w:r>
    </w:p>
  </w:footnote>
  <w:footnote w:id="36">
    <w:p w:rsidR="001F7C9D" w:rsidRPr="0018236D" w:rsidRDefault="001F7C9D">
      <w:pPr>
        <w:pStyle w:val="Textonotapie"/>
        <w:rPr>
          <w:rFonts w:ascii="Bookman Old Style" w:hAnsi="Bookman Old Style" w:cs="Times New Roman"/>
        </w:rPr>
      </w:pPr>
      <w:r w:rsidRPr="0018236D">
        <w:rPr>
          <w:rStyle w:val="Refdenotaalpie"/>
          <w:rFonts w:ascii="Bookman Old Style" w:hAnsi="Bookman Old Style" w:cs="Times New Roman"/>
        </w:rPr>
        <w:footnoteRef/>
      </w:r>
      <w:r w:rsidRPr="0018236D">
        <w:rPr>
          <w:rFonts w:ascii="Bookman Old Style" w:hAnsi="Bookman Old Style" w:cs="Times New Roman"/>
        </w:rPr>
        <w:t xml:space="preserve"> F. Copleston, </w:t>
      </w:r>
      <w:r w:rsidRPr="0018236D">
        <w:rPr>
          <w:rFonts w:ascii="Bookman Old Style" w:hAnsi="Bookman Old Style" w:cs="Times New Roman"/>
          <w:i/>
        </w:rPr>
        <w:t>Historia de la Filosofía. 7. De Fichte a Nietzsche</w:t>
      </w:r>
      <w:r w:rsidRPr="0018236D">
        <w:rPr>
          <w:rFonts w:ascii="Bookman Old Style" w:hAnsi="Bookman Old Style" w:cs="Times New Roman"/>
        </w:rPr>
        <w:t>. Ariel, 1980. P. 262.</w:t>
      </w:r>
    </w:p>
  </w:footnote>
  <w:footnote w:id="37">
    <w:p w:rsidR="001F7C9D" w:rsidRPr="0018236D" w:rsidRDefault="001F7C9D">
      <w:pPr>
        <w:pStyle w:val="Textonotapie"/>
        <w:rPr>
          <w:rFonts w:ascii="Bookman Old Style" w:hAnsi="Bookman Old Style" w:cs="Times New Roman"/>
        </w:rPr>
      </w:pPr>
      <w:r w:rsidRPr="0018236D">
        <w:rPr>
          <w:rStyle w:val="Refdenotaalpie"/>
          <w:rFonts w:ascii="Bookman Old Style" w:hAnsi="Bookman Old Style" w:cs="Times New Roman"/>
        </w:rPr>
        <w:footnoteRef/>
      </w:r>
      <w:r w:rsidRPr="0018236D">
        <w:rPr>
          <w:rFonts w:ascii="Bookman Old Style" w:hAnsi="Bookman Old Style" w:cs="Times New Roman"/>
        </w:rPr>
        <w:t xml:space="preserve"> A. del Noce, </w:t>
      </w:r>
      <w:r w:rsidRPr="0018236D">
        <w:rPr>
          <w:rFonts w:ascii="Bookman Old Style" w:hAnsi="Bookman Old Style" w:cs="Times New Roman"/>
          <w:i/>
        </w:rPr>
        <w:t>Il problema…</w:t>
      </w:r>
      <w:r w:rsidRPr="0018236D">
        <w:rPr>
          <w:rFonts w:ascii="Bookman Old Style" w:hAnsi="Bookman Old Style" w:cs="Times New Roman"/>
        </w:rPr>
        <w:t>, ed. cit., p. 318-319.</w:t>
      </w:r>
    </w:p>
  </w:footnote>
  <w:footnote w:id="38">
    <w:p w:rsidR="001F7C9D" w:rsidRPr="0018236D" w:rsidRDefault="001F7C9D">
      <w:pPr>
        <w:pStyle w:val="Textonotapie"/>
        <w:rPr>
          <w:rFonts w:ascii="Bookman Old Style" w:hAnsi="Bookman Old Style" w:cs="Times New Roman"/>
        </w:rPr>
      </w:pPr>
      <w:r w:rsidRPr="0018236D">
        <w:rPr>
          <w:rStyle w:val="Refdenotaalpie"/>
          <w:rFonts w:ascii="Bookman Old Style" w:hAnsi="Bookman Old Style" w:cs="Times New Roman"/>
        </w:rPr>
        <w:footnoteRef/>
      </w:r>
      <w:r w:rsidRPr="0018236D">
        <w:rPr>
          <w:rFonts w:ascii="Bookman Old Style" w:hAnsi="Bookman Old Style" w:cs="Times New Roman"/>
        </w:rPr>
        <w:t xml:space="preserve"> J. Baudrillard, </w:t>
      </w:r>
      <w:r w:rsidRPr="0018236D">
        <w:rPr>
          <w:rFonts w:ascii="Bookman Old Style" w:hAnsi="Bookman Old Style" w:cs="Times New Roman"/>
          <w:i/>
        </w:rPr>
        <w:t>La société</w:t>
      </w:r>
      <w:r w:rsidRPr="0018236D">
        <w:rPr>
          <w:rFonts w:ascii="Bookman Old Style" w:hAnsi="Bookman Old Style" w:cs="Times New Roman"/>
        </w:rPr>
        <w:t xml:space="preserve"> </w:t>
      </w:r>
      <w:r w:rsidRPr="0018236D">
        <w:rPr>
          <w:rFonts w:ascii="Bookman Old Style" w:hAnsi="Bookman Old Style" w:cs="Times New Roman"/>
          <w:i/>
        </w:rPr>
        <w:t>de consommation</w:t>
      </w:r>
      <w:r w:rsidRPr="0018236D">
        <w:rPr>
          <w:rFonts w:ascii="Bookman Old Style" w:hAnsi="Bookman Old Style" w:cs="Times New Roman"/>
        </w:rPr>
        <w:t>, Folio, 1996. P. 299 ss. Conclusion.</w:t>
      </w:r>
    </w:p>
  </w:footnote>
  <w:footnote w:id="39">
    <w:p w:rsidR="001F7C9D" w:rsidRPr="0018236D" w:rsidRDefault="001F7C9D" w:rsidP="006A570E">
      <w:pPr>
        <w:pStyle w:val="Textonotapie"/>
        <w:jc w:val="both"/>
        <w:rPr>
          <w:rFonts w:ascii="Bookman Old Style" w:hAnsi="Bookman Old Style" w:cs="Times New Roman"/>
        </w:rPr>
      </w:pPr>
      <w:r w:rsidRPr="0018236D">
        <w:rPr>
          <w:rStyle w:val="Refdenotaalpie"/>
          <w:rFonts w:ascii="Bookman Old Style" w:hAnsi="Bookman Old Style" w:cs="Times New Roman"/>
        </w:rPr>
        <w:footnoteRef/>
      </w:r>
      <w:r w:rsidRPr="0018236D">
        <w:rPr>
          <w:rFonts w:ascii="Bookman Old Style" w:hAnsi="Bookman Old Style" w:cs="Times New Roman"/>
        </w:rPr>
        <w:t xml:space="preserve"> Véanse las proféticas reflexiones de M. F. Sciacca en </w:t>
      </w:r>
      <w:r w:rsidRPr="0018236D">
        <w:rPr>
          <w:rFonts w:ascii="Bookman Old Style" w:hAnsi="Bookman Old Style" w:cs="Times New Roman"/>
          <w:i/>
        </w:rPr>
        <w:t>El oscurecimiento de la inteligencia</w:t>
      </w:r>
      <w:r w:rsidRPr="0018236D">
        <w:rPr>
          <w:rFonts w:ascii="Bookman Old Style" w:hAnsi="Bookman Old Style" w:cs="Times New Roman"/>
        </w:rPr>
        <w:t xml:space="preserve"> sobre la impiedad religiosa (Gredos, Madrid 1973, pp. 181 ss).</w:t>
      </w:r>
    </w:p>
  </w:footnote>
  <w:footnote w:id="40">
    <w:p w:rsidR="001F7C9D" w:rsidRPr="0018236D" w:rsidRDefault="001F7C9D" w:rsidP="00E455EF">
      <w:pPr>
        <w:pStyle w:val="Textonotapie"/>
        <w:jc w:val="both"/>
        <w:rPr>
          <w:rFonts w:ascii="Bookman Old Style" w:hAnsi="Bookman Old Style" w:cs="Times New Roman"/>
        </w:rPr>
      </w:pPr>
      <w:r w:rsidRPr="0018236D">
        <w:rPr>
          <w:rStyle w:val="Refdenotaalpie"/>
          <w:rFonts w:ascii="Bookman Old Style" w:hAnsi="Bookman Old Style" w:cs="Times New Roman"/>
        </w:rPr>
        <w:footnoteRef/>
      </w:r>
      <w:r w:rsidRPr="0018236D">
        <w:rPr>
          <w:rFonts w:ascii="Bookman Old Style" w:hAnsi="Bookman Old Style" w:cs="Times New Roman"/>
        </w:rPr>
        <w:t>https://w2.vatican.va/content/benedictxvi/es/speeches/2005/december/documents/hf_ben_xvi_spe_20051222_roman-curia.htm</w:t>
      </w:r>
    </w:p>
  </w:footnote>
  <w:footnote w:id="41">
    <w:p w:rsidR="001F7C9D" w:rsidRPr="0018236D" w:rsidRDefault="001F7C9D" w:rsidP="00F1511D">
      <w:pPr>
        <w:pStyle w:val="Textonotapie"/>
        <w:jc w:val="both"/>
        <w:rPr>
          <w:rFonts w:ascii="Bookman Old Style" w:hAnsi="Bookman Old Style" w:cs="Times New Roman"/>
        </w:rPr>
      </w:pPr>
      <w:r w:rsidRPr="0018236D">
        <w:rPr>
          <w:rStyle w:val="Refdenotaalpie"/>
          <w:rFonts w:ascii="Bookman Old Style" w:hAnsi="Bookman Old Style" w:cs="Times New Roman"/>
        </w:rPr>
        <w:footnoteRef/>
      </w:r>
      <w:r w:rsidRPr="0018236D">
        <w:rPr>
          <w:rFonts w:ascii="Bookman Old Style" w:hAnsi="Bookman Old Style" w:cs="Times New Roman"/>
        </w:rPr>
        <w:t xml:space="preserve"> Vaya esto como ejemplo:“L’Esortazione postsinodale ha una qualifica di magistero ordinario e quindi va accolta come tale, non è la posizione di una scuola teologica. È l’espressione di un percorso di Chiesa. Come si fa ad ignorarlo? E come si fa ad ignorare che </w:t>
      </w:r>
      <w:r w:rsidRPr="0018236D">
        <w:rPr>
          <w:rFonts w:ascii="Bookman Old Style" w:hAnsi="Bookman Old Style" w:cs="Times New Roman"/>
          <w:u w:val="single"/>
        </w:rPr>
        <w:t>l’intento dell’Esortazione è preminentemente pastorale</w:t>
      </w:r>
      <w:r w:rsidRPr="0018236D">
        <w:rPr>
          <w:rFonts w:ascii="Bookman Old Style" w:hAnsi="Bookman Old Style" w:cs="Times New Roman"/>
        </w:rPr>
        <w:t xml:space="preserve">. Offre una visione dell’amore come fondamento del matrimonio che va al di là di una scansione normativa. </w:t>
      </w:r>
      <w:r w:rsidRPr="0018236D">
        <w:rPr>
          <w:rFonts w:ascii="Bookman Old Style" w:hAnsi="Bookman Old Style" w:cs="Times New Roman"/>
          <w:u w:val="single"/>
        </w:rPr>
        <w:t>E dicendo che è pastorale non diciamo che si tratta di un livello inferiore rispetto alla teologia. Diciamo proprio il contrario, perché la pastorale comprende e include la teologia. E non il contrario</w:t>
      </w:r>
      <w:r w:rsidRPr="0018236D">
        <w:rPr>
          <w:rFonts w:ascii="Bookman Old Style" w:hAnsi="Bookman Old Style" w:cs="Times New Roman"/>
        </w:rPr>
        <w:t>. Altrimenti il cristianesimo sarebbe una sorta di intellettualismo, proprio ciò che il Papa dice di voler evitare”</w:t>
      </w:r>
      <w:r w:rsidRPr="0018236D">
        <w:rPr>
          <w:rFonts w:ascii="Bookman Old Style" w:hAnsi="Bookman Old Style"/>
        </w:rPr>
        <w:t xml:space="preserve"> </w:t>
      </w:r>
      <w:r w:rsidRPr="0018236D">
        <w:rPr>
          <w:rFonts w:ascii="Bookman Old Style" w:hAnsi="Bookman Old Style" w:cs="Times New Roman"/>
        </w:rPr>
        <w:t>Monsignor Giuseppe Lorizio, docente di teologia fondamentale all’Università Lateranense, membro del Comitato nazionale per gli studi superiori di Teologia e di Scienze Religiose della Cei. (Subr. JAL)</w:t>
      </w:r>
    </w:p>
  </w:footnote>
  <w:footnote w:id="42">
    <w:p w:rsidR="001F7C9D" w:rsidRPr="0018236D" w:rsidRDefault="001F7C9D" w:rsidP="00DB18EA">
      <w:pPr>
        <w:pStyle w:val="Textonotapie"/>
        <w:jc w:val="both"/>
        <w:rPr>
          <w:rFonts w:ascii="Bookman Old Style" w:hAnsi="Bookman Old Style" w:cs="Times New Roman"/>
        </w:rPr>
      </w:pPr>
      <w:r w:rsidRPr="0018236D">
        <w:rPr>
          <w:rStyle w:val="Refdenotaalpie"/>
          <w:rFonts w:ascii="Bookman Old Style" w:hAnsi="Bookman Old Style" w:cs="Times New Roman"/>
        </w:rPr>
        <w:footnoteRef/>
      </w:r>
      <w:r w:rsidRPr="0018236D">
        <w:rPr>
          <w:rFonts w:ascii="Bookman Old Style" w:hAnsi="Bookman Old Style" w:cs="Times New Roman"/>
        </w:rPr>
        <w:t xml:space="preserve"> Recordemos la anécdota del Card. Innitzer frente a Hitler en las afueras de Viena luego del </w:t>
      </w:r>
      <w:r w:rsidRPr="0018236D">
        <w:rPr>
          <w:rFonts w:ascii="Bookman Old Style" w:hAnsi="Bookman Old Style" w:cs="Times New Roman"/>
          <w:i/>
        </w:rPr>
        <w:t>Anschluss</w:t>
      </w:r>
      <w:r w:rsidRPr="0018236D">
        <w:rPr>
          <w:rFonts w:ascii="Bookman Old Style" w:hAnsi="Bookman Old Style" w:cs="Times New Roman"/>
        </w:rPr>
        <w:t>.</w:t>
      </w:r>
      <w:r w:rsidR="00DB18EA" w:rsidRPr="0018236D">
        <w:rPr>
          <w:rFonts w:ascii="Bookman Old Style" w:hAnsi="Bookman Old Style"/>
        </w:rPr>
        <w:t xml:space="preserve"> </w:t>
      </w:r>
      <w:r w:rsidR="00DB18EA" w:rsidRPr="0018236D">
        <w:rPr>
          <w:rFonts w:ascii="Bookman Old Style" w:hAnsi="Bookman Old Style" w:cs="Times New Roman"/>
        </w:rPr>
        <w:t>Cuando el Card. Innitzer salió a recibirlo a las afueras de Viena aquel ni siquiera se detuvo. Luego Innitzer tuvo que ir a Roma a disculparse. Komar añadía que desde aquel momento la diócesis de Viena fue problemática, lo cual tiene tremenda actualidad. Por el contrario, el Card. von Faulhaber se negó a embanderar Munich ante el fallecimiento del anticlerical Ludendorff y no pasó absolutamente nada.</w:t>
      </w:r>
    </w:p>
  </w:footnote>
  <w:footnote w:id="43">
    <w:p w:rsidR="001F7C9D" w:rsidRPr="0018236D" w:rsidRDefault="001F7C9D" w:rsidP="00682CAA">
      <w:pPr>
        <w:pStyle w:val="Textonotapie"/>
        <w:jc w:val="both"/>
        <w:rPr>
          <w:rFonts w:ascii="Bookman Old Style" w:hAnsi="Bookman Old Style" w:cs="Times New Roman"/>
        </w:rPr>
      </w:pPr>
      <w:r w:rsidRPr="0018236D">
        <w:rPr>
          <w:rStyle w:val="Refdenotaalpie"/>
          <w:rFonts w:ascii="Bookman Old Style" w:hAnsi="Bookman Old Style" w:cs="Times New Roman"/>
        </w:rPr>
        <w:footnoteRef/>
      </w:r>
      <w:r w:rsidRPr="0018236D">
        <w:rPr>
          <w:rFonts w:ascii="Bookman Old Style" w:hAnsi="Bookman Old Style" w:cs="Times New Roman"/>
        </w:rPr>
        <w:t>Scalfari cita palabras del Papa Francisco: «Noi credenti e ovviamente soprattutto noi presbiteri e noi vescovi crediamo nell' Assoluto, ma ciascuno a suo modo perché ognuno ha la propria testa e il proprio pensiero. Quindi la nostra verità assoluta, da tutti noi condivisa, è però diversa da persona a persona. Non evitiamo infatti discussioni nel caso delle quali i nostri diversi pensieri si confrontano. Un tipo di relativismo c' è dunque anche tra noi»</w:t>
      </w:r>
      <w:r w:rsidRPr="0018236D">
        <w:rPr>
          <w:rFonts w:ascii="Bookman Old Style" w:hAnsi="Bookman Old Style"/>
        </w:rPr>
        <w:t xml:space="preserve"> </w:t>
      </w:r>
      <w:r w:rsidRPr="0018236D">
        <w:rPr>
          <w:rFonts w:ascii="Bookman Old Style" w:hAnsi="Bookman Old Style" w:cs="Times New Roman"/>
        </w:rPr>
        <w:t>http://ilsismografo.blogspot.com.ar/2017/10/italia-la-chiesa-che-combatte-il.html</w:t>
      </w:r>
    </w:p>
  </w:footnote>
  <w:footnote w:id="44">
    <w:p w:rsidR="001F7C9D" w:rsidRPr="0018236D" w:rsidRDefault="001F7C9D">
      <w:pPr>
        <w:pStyle w:val="Textonotapie"/>
        <w:rPr>
          <w:rFonts w:ascii="Bookman Old Style" w:hAnsi="Bookman Old Style" w:cs="Times New Roman"/>
        </w:rPr>
      </w:pPr>
      <w:r w:rsidRPr="0018236D">
        <w:rPr>
          <w:rStyle w:val="Refdenotaalpie"/>
          <w:rFonts w:ascii="Bookman Old Style" w:hAnsi="Bookman Old Style" w:cs="Times New Roman"/>
        </w:rPr>
        <w:footnoteRef/>
      </w:r>
      <w:r w:rsidRPr="0018236D">
        <w:rPr>
          <w:rFonts w:ascii="Bookman Old Style" w:hAnsi="Bookman Old Style" w:cs="Times New Roman"/>
        </w:rPr>
        <w:t xml:space="preserve"> Cfr la carta en la que el Papa Francisco desautoriza la interpretación del Card. Sarah sobre la manera de interpretar la nueva reforma litúrgica. http://lanuovabq.it/it/la-lettera-del-papa-al-cardinale-sarah</w:t>
      </w:r>
    </w:p>
  </w:footnote>
  <w:footnote w:id="45">
    <w:p w:rsidR="001F7C9D" w:rsidRPr="0018236D" w:rsidRDefault="001F7C9D" w:rsidP="000D40E5">
      <w:pPr>
        <w:pStyle w:val="Textonotapie"/>
        <w:jc w:val="both"/>
        <w:rPr>
          <w:rFonts w:ascii="Bookman Old Style" w:hAnsi="Bookman Old Style" w:cs="Times New Roman"/>
        </w:rPr>
      </w:pPr>
      <w:r w:rsidRPr="0018236D">
        <w:rPr>
          <w:rStyle w:val="Refdenotaalpie"/>
          <w:rFonts w:ascii="Bookman Old Style" w:hAnsi="Bookman Old Style" w:cs="Times New Roman"/>
        </w:rPr>
        <w:footnoteRef/>
      </w:r>
      <w:r w:rsidRPr="0018236D">
        <w:rPr>
          <w:rFonts w:ascii="Bookman Old Style" w:hAnsi="Bookman Old Style" w:cs="Times New Roman"/>
        </w:rPr>
        <w:t xml:space="preserve"> «La Riforma avviata da Martin Lutero 500 anni fa è stata un evento dello Spirito Santo» Así decía Mons. Galantino, Secretario general del Episcopado italiano, en una conferencia en la Universidad Lateranense días atrás. O más recientemente el P. Spadaro en la Civiltà Cattolica:</w:t>
      </w:r>
      <w:r w:rsidRPr="0018236D">
        <w:rPr>
          <w:rFonts w:ascii="Bookman Old Style" w:hAnsi="Bookman Old Style"/>
        </w:rPr>
        <w:t xml:space="preserve"> </w:t>
      </w:r>
      <w:r w:rsidRPr="0018236D">
        <w:rPr>
          <w:rFonts w:ascii="Bookman Old Style" w:hAnsi="Bookman Old Style" w:cs="Times New Roman"/>
        </w:rPr>
        <w:t xml:space="preserve">“Martin Lutero è stato considerato per secoli l’eretico per antonomasia. Oggi a 500 anni di distanza, la ricerca storica e gli studi recenti portano a chiederci: eretico lo era davvero?(…) è urgente una rilettura libera da luoghi comuni e da vulgate trasmesse acriticamente.” ¿ Acaso Denifle, Grisar y Lortz son vulgatas transmitidas acríticamente? </w:t>
      </w:r>
      <w:bookmarkStart w:id="3" w:name="_Hlk496729656"/>
      <w:r w:rsidRPr="0018236D">
        <w:rPr>
          <w:rFonts w:ascii="Bookman Old Style" w:hAnsi="Bookman Old Style" w:cs="Times New Roman"/>
        </w:rPr>
        <w:t xml:space="preserve">Cfr. el libro del editor de J. Pieper, Berthold Wald (Hrsg): </w:t>
      </w:r>
      <w:r w:rsidRPr="0018236D">
        <w:rPr>
          <w:rFonts w:ascii="Bookman Old Style" w:hAnsi="Bookman Old Style" w:cs="Times New Roman"/>
          <w:i/>
        </w:rPr>
        <w:t>Luthers Theologie und Anthropologie im Spiegel seiner Biographie</w:t>
      </w:r>
      <w:r w:rsidRPr="0018236D">
        <w:rPr>
          <w:rFonts w:ascii="Bookman Old Style" w:hAnsi="Bookman Old Style" w:cs="Times New Roman"/>
        </w:rPr>
        <w:t>. Patrimonium Verlag, Aachen 2015.</w:t>
      </w:r>
    </w:p>
    <w:bookmarkEnd w:id="3"/>
  </w:footnote>
  <w:footnote w:id="46">
    <w:p w:rsidR="001F7C9D" w:rsidRPr="0018236D" w:rsidRDefault="001F7C9D">
      <w:pPr>
        <w:pStyle w:val="Textonotapie"/>
        <w:rPr>
          <w:rFonts w:ascii="Bookman Old Style" w:hAnsi="Bookman Old Style" w:cs="Times New Roman"/>
        </w:rPr>
      </w:pPr>
      <w:r w:rsidRPr="0018236D">
        <w:rPr>
          <w:rStyle w:val="Refdenotaalpie"/>
          <w:rFonts w:ascii="Bookman Old Style" w:hAnsi="Bookman Old Style" w:cs="Times New Roman"/>
        </w:rPr>
        <w:footnoteRef/>
      </w:r>
      <w:r w:rsidRPr="0018236D">
        <w:rPr>
          <w:rFonts w:ascii="Bookman Old Style" w:hAnsi="Bookman Old Style" w:cs="Times New Roman"/>
          <w:lang w:val="en-US"/>
        </w:rPr>
        <w:t xml:space="preserve"> “Sed istae dubitationes stultae sunt”. </w:t>
      </w:r>
      <w:r w:rsidRPr="0018236D">
        <w:rPr>
          <w:rFonts w:ascii="Bookman Old Style" w:hAnsi="Bookman Old Style" w:cs="Times New Roman"/>
        </w:rPr>
        <w:t xml:space="preserve">S. Thomae Aquinatis, </w:t>
      </w:r>
      <w:r w:rsidRPr="0018236D">
        <w:rPr>
          <w:rFonts w:ascii="Bookman Old Style" w:hAnsi="Bookman Old Style" w:cs="Times New Roman"/>
          <w:i/>
        </w:rPr>
        <w:t>In Metaph. Expositio</w:t>
      </w:r>
      <w:r w:rsidRPr="0018236D">
        <w:rPr>
          <w:rFonts w:ascii="Bookman Old Style" w:hAnsi="Bookman Old Style" w:cs="Times New Roman"/>
        </w:rPr>
        <w:t>, Marietti, 1964. P. 196</w:t>
      </w:r>
    </w:p>
  </w:footnote>
  <w:footnote w:id="47">
    <w:p w:rsidR="001F7C9D" w:rsidRPr="0018236D" w:rsidRDefault="001F7C9D" w:rsidP="00D03399">
      <w:pPr>
        <w:pStyle w:val="Textonotapie"/>
        <w:jc w:val="both"/>
        <w:rPr>
          <w:rFonts w:ascii="Bookman Old Style" w:hAnsi="Bookman Old Style" w:cs="Times New Roman"/>
        </w:rPr>
      </w:pPr>
      <w:r w:rsidRPr="0018236D">
        <w:rPr>
          <w:rStyle w:val="Refdenotaalpie"/>
          <w:rFonts w:ascii="Bookman Old Style" w:hAnsi="Bookman Old Style" w:cs="Times New Roman"/>
        </w:rPr>
        <w:footnoteRef/>
      </w:r>
      <w:r w:rsidRPr="0018236D">
        <w:rPr>
          <w:rFonts w:ascii="Bookman Old Style" w:hAnsi="Bookman Old Style" w:cs="Times New Roman"/>
        </w:rPr>
        <w:t xml:space="preserve"> Seguimos la traducción de García Yebra (</w:t>
      </w:r>
      <w:r w:rsidRPr="0018236D">
        <w:rPr>
          <w:rFonts w:ascii="Bookman Old Style" w:hAnsi="Bookman Old Style" w:cs="Times New Roman"/>
          <w:i/>
        </w:rPr>
        <w:t>Gredos</w:t>
      </w:r>
      <w:r w:rsidRPr="0018236D">
        <w:rPr>
          <w:rFonts w:ascii="Bookman Old Style" w:hAnsi="Bookman Old Style" w:cs="Times New Roman"/>
        </w:rPr>
        <w:t xml:space="preserve">, Madrid, 1970. T. I, p. 201-202) con algunas correcciones basadas en la traducción italiana de G. Reale (Aristotele, </w:t>
      </w:r>
      <w:r w:rsidRPr="0018236D">
        <w:rPr>
          <w:rFonts w:ascii="Bookman Old Style" w:hAnsi="Bookman Old Style" w:cs="Times New Roman"/>
          <w:i/>
        </w:rPr>
        <w:t>Metafisica</w:t>
      </w:r>
      <w:r w:rsidRPr="0018236D">
        <w:rPr>
          <w:rFonts w:ascii="Bookman Old Style" w:hAnsi="Bookman Old Style" w:cs="Times New Roman"/>
        </w:rPr>
        <w:t>, Bompiani, Milano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04D9C"/>
    <w:multiLevelType w:val="hybridMultilevel"/>
    <w:tmpl w:val="F722771C"/>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68E7F70"/>
    <w:multiLevelType w:val="hybridMultilevel"/>
    <w:tmpl w:val="AC3AD566"/>
    <w:lvl w:ilvl="0" w:tplc="2C0A0017">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nsid w:val="19284F0C"/>
    <w:multiLevelType w:val="hybridMultilevel"/>
    <w:tmpl w:val="C50C032C"/>
    <w:lvl w:ilvl="0" w:tplc="2C0A0019">
      <w:start w:val="1"/>
      <w:numFmt w:val="lowerLetter"/>
      <w:lvlText w:val="%1."/>
      <w:lvlJc w:val="left"/>
      <w:pPr>
        <w:ind w:left="360" w:hanging="360"/>
      </w:pPr>
      <w:rPr>
        <w:rFonts w:hint="default"/>
      </w:r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
    <w:nsid w:val="7359762E"/>
    <w:multiLevelType w:val="hybridMultilevel"/>
    <w:tmpl w:val="2F88FB20"/>
    <w:lvl w:ilvl="0" w:tplc="2C0A0015">
      <w:start w:val="1"/>
      <w:numFmt w:val="upperLetter"/>
      <w:lvlText w:val="%1."/>
      <w:lvlJc w:val="left"/>
      <w:pPr>
        <w:ind w:left="720" w:hanging="360"/>
      </w:pPr>
      <w:rPr>
        <w:rFonts w:hint="default"/>
        <w:sz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BE9"/>
    <w:rsid w:val="00052E63"/>
    <w:rsid w:val="000608E7"/>
    <w:rsid w:val="00073845"/>
    <w:rsid w:val="00083BE9"/>
    <w:rsid w:val="0009496C"/>
    <w:rsid w:val="000A2556"/>
    <w:rsid w:val="000A4787"/>
    <w:rsid w:val="000C15F2"/>
    <w:rsid w:val="000D40E5"/>
    <w:rsid w:val="000E59C0"/>
    <w:rsid w:val="000F0142"/>
    <w:rsid w:val="000F4E88"/>
    <w:rsid w:val="00111508"/>
    <w:rsid w:val="001150D7"/>
    <w:rsid w:val="001174EB"/>
    <w:rsid w:val="001261BE"/>
    <w:rsid w:val="001263F3"/>
    <w:rsid w:val="00130274"/>
    <w:rsid w:val="001411D8"/>
    <w:rsid w:val="001563C4"/>
    <w:rsid w:val="00162BE7"/>
    <w:rsid w:val="001806E8"/>
    <w:rsid w:val="0018236D"/>
    <w:rsid w:val="001852DA"/>
    <w:rsid w:val="001B3244"/>
    <w:rsid w:val="001B7908"/>
    <w:rsid w:val="001C4FA3"/>
    <w:rsid w:val="001E5CEE"/>
    <w:rsid w:val="001F18D7"/>
    <w:rsid w:val="001F7C9D"/>
    <w:rsid w:val="00216045"/>
    <w:rsid w:val="00216DAE"/>
    <w:rsid w:val="00231734"/>
    <w:rsid w:val="00232D09"/>
    <w:rsid w:val="00247752"/>
    <w:rsid w:val="002575FC"/>
    <w:rsid w:val="00276967"/>
    <w:rsid w:val="0028388E"/>
    <w:rsid w:val="002A591E"/>
    <w:rsid w:val="002B4A0A"/>
    <w:rsid w:val="002C1D20"/>
    <w:rsid w:val="002C468A"/>
    <w:rsid w:val="002C6A7A"/>
    <w:rsid w:val="002E13EC"/>
    <w:rsid w:val="002F2457"/>
    <w:rsid w:val="002F3A65"/>
    <w:rsid w:val="002F3CD9"/>
    <w:rsid w:val="002F6370"/>
    <w:rsid w:val="00303480"/>
    <w:rsid w:val="00315F2E"/>
    <w:rsid w:val="00321755"/>
    <w:rsid w:val="003254A5"/>
    <w:rsid w:val="0033339A"/>
    <w:rsid w:val="003437E4"/>
    <w:rsid w:val="00343E66"/>
    <w:rsid w:val="00362DEF"/>
    <w:rsid w:val="00376424"/>
    <w:rsid w:val="00385B31"/>
    <w:rsid w:val="00387CB7"/>
    <w:rsid w:val="0039141A"/>
    <w:rsid w:val="00397E50"/>
    <w:rsid w:val="003A5974"/>
    <w:rsid w:val="003B4D3F"/>
    <w:rsid w:val="003C61DD"/>
    <w:rsid w:val="003D3E24"/>
    <w:rsid w:val="003E53A2"/>
    <w:rsid w:val="00407B1B"/>
    <w:rsid w:val="00413CA5"/>
    <w:rsid w:val="004159B0"/>
    <w:rsid w:val="0043369E"/>
    <w:rsid w:val="0044055B"/>
    <w:rsid w:val="0044773F"/>
    <w:rsid w:val="0045300D"/>
    <w:rsid w:val="00453346"/>
    <w:rsid w:val="004616BA"/>
    <w:rsid w:val="00466E58"/>
    <w:rsid w:val="00470AF5"/>
    <w:rsid w:val="00486609"/>
    <w:rsid w:val="004962E1"/>
    <w:rsid w:val="004A4230"/>
    <w:rsid w:val="004A6C06"/>
    <w:rsid w:val="004A7BC5"/>
    <w:rsid w:val="004B3D28"/>
    <w:rsid w:val="004B7726"/>
    <w:rsid w:val="004D50C2"/>
    <w:rsid w:val="004E69D5"/>
    <w:rsid w:val="00503D9B"/>
    <w:rsid w:val="005269FE"/>
    <w:rsid w:val="00531277"/>
    <w:rsid w:val="00535D40"/>
    <w:rsid w:val="00537AC9"/>
    <w:rsid w:val="00540EA3"/>
    <w:rsid w:val="00544E8C"/>
    <w:rsid w:val="0055021B"/>
    <w:rsid w:val="00551B2B"/>
    <w:rsid w:val="0055297F"/>
    <w:rsid w:val="00553830"/>
    <w:rsid w:val="00554E34"/>
    <w:rsid w:val="00556DAF"/>
    <w:rsid w:val="00572C25"/>
    <w:rsid w:val="005B1CEF"/>
    <w:rsid w:val="005C1E87"/>
    <w:rsid w:val="005C2361"/>
    <w:rsid w:val="005C6909"/>
    <w:rsid w:val="00612382"/>
    <w:rsid w:val="00612F73"/>
    <w:rsid w:val="00634A2D"/>
    <w:rsid w:val="00645628"/>
    <w:rsid w:val="00661437"/>
    <w:rsid w:val="00681BB5"/>
    <w:rsid w:val="00682CAA"/>
    <w:rsid w:val="0068623E"/>
    <w:rsid w:val="00687343"/>
    <w:rsid w:val="00690E6E"/>
    <w:rsid w:val="006A066B"/>
    <w:rsid w:val="006A570E"/>
    <w:rsid w:val="006C64C3"/>
    <w:rsid w:val="006E1144"/>
    <w:rsid w:val="006E2595"/>
    <w:rsid w:val="006E44F1"/>
    <w:rsid w:val="006F1984"/>
    <w:rsid w:val="006F55F3"/>
    <w:rsid w:val="0070034D"/>
    <w:rsid w:val="0071218F"/>
    <w:rsid w:val="007131F4"/>
    <w:rsid w:val="00714BB2"/>
    <w:rsid w:val="00746EFE"/>
    <w:rsid w:val="0075410A"/>
    <w:rsid w:val="00763D12"/>
    <w:rsid w:val="00766DF9"/>
    <w:rsid w:val="0077311A"/>
    <w:rsid w:val="00773567"/>
    <w:rsid w:val="0079187B"/>
    <w:rsid w:val="007A45C9"/>
    <w:rsid w:val="007B4E78"/>
    <w:rsid w:val="007B7685"/>
    <w:rsid w:val="007C03CF"/>
    <w:rsid w:val="007C2FF8"/>
    <w:rsid w:val="007C4C51"/>
    <w:rsid w:val="007C7098"/>
    <w:rsid w:val="007E23DD"/>
    <w:rsid w:val="007F01BF"/>
    <w:rsid w:val="00805FE8"/>
    <w:rsid w:val="00812FD4"/>
    <w:rsid w:val="00817B04"/>
    <w:rsid w:val="00820F6A"/>
    <w:rsid w:val="00833212"/>
    <w:rsid w:val="00845727"/>
    <w:rsid w:val="00847EDF"/>
    <w:rsid w:val="008559F6"/>
    <w:rsid w:val="008735C4"/>
    <w:rsid w:val="008918DF"/>
    <w:rsid w:val="00893F93"/>
    <w:rsid w:val="00895A03"/>
    <w:rsid w:val="008A7A55"/>
    <w:rsid w:val="008B00E5"/>
    <w:rsid w:val="008B6B6F"/>
    <w:rsid w:val="008C4E36"/>
    <w:rsid w:val="008D1207"/>
    <w:rsid w:val="008D5081"/>
    <w:rsid w:val="008E2EFD"/>
    <w:rsid w:val="008E3958"/>
    <w:rsid w:val="00902A7C"/>
    <w:rsid w:val="00903955"/>
    <w:rsid w:val="00906330"/>
    <w:rsid w:val="00924E3E"/>
    <w:rsid w:val="00940FF7"/>
    <w:rsid w:val="00960889"/>
    <w:rsid w:val="00964232"/>
    <w:rsid w:val="0096630F"/>
    <w:rsid w:val="0097144F"/>
    <w:rsid w:val="009766F5"/>
    <w:rsid w:val="00977EB8"/>
    <w:rsid w:val="00984E3F"/>
    <w:rsid w:val="00985639"/>
    <w:rsid w:val="00986392"/>
    <w:rsid w:val="009866D0"/>
    <w:rsid w:val="009A14B3"/>
    <w:rsid w:val="009A2817"/>
    <w:rsid w:val="009D7A51"/>
    <w:rsid w:val="009F1AE2"/>
    <w:rsid w:val="009F5E8D"/>
    <w:rsid w:val="00A01071"/>
    <w:rsid w:val="00A103DD"/>
    <w:rsid w:val="00A10D52"/>
    <w:rsid w:val="00A112B2"/>
    <w:rsid w:val="00A226B3"/>
    <w:rsid w:val="00A44377"/>
    <w:rsid w:val="00A452E5"/>
    <w:rsid w:val="00A46F80"/>
    <w:rsid w:val="00A64C4C"/>
    <w:rsid w:val="00A96574"/>
    <w:rsid w:val="00A97663"/>
    <w:rsid w:val="00AA3C7F"/>
    <w:rsid w:val="00AB4441"/>
    <w:rsid w:val="00AB62B4"/>
    <w:rsid w:val="00AC0F63"/>
    <w:rsid w:val="00AC352E"/>
    <w:rsid w:val="00AC3D8C"/>
    <w:rsid w:val="00AC4AE8"/>
    <w:rsid w:val="00AD0E9C"/>
    <w:rsid w:val="00AD7F0A"/>
    <w:rsid w:val="00AE7257"/>
    <w:rsid w:val="00B1351D"/>
    <w:rsid w:val="00B234E3"/>
    <w:rsid w:val="00B246F4"/>
    <w:rsid w:val="00B36EDB"/>
    <w:rsid w:val="00B47F59"/>
    <w:rsid w:val="00B52C9F"/>
    <w:rsid w:val="00B54E01"/>
    <w:rsid w:val="00B56B5E"/>
    <w:rsid w:val="00B6773C"/>
    <w:rsid w:val="00B805EC"/>
    <w:rsid w:val="00BB646C"/>
    <w:rsid w:val="00BC562A"/>
    <w:rsid w:val="00BE414F"/>
    <w:rsid w:val="00BE67B8"/>
    <w:rsid w:val="00BF512B"/>
    <w:rsid w:val="00C00C9D"/>
    <w:rsid w:val="00C10C87"/>
    <w:rsid w:val="00C15E13"/>
    <w:rsid w:val="00C17D34"/>
    <w:rsid w:val="00C17D99"/>
    <w:rsid w:val="00C205BD"/>
    <w:rsid w:val="00C31E01"/>
    <w:rsid w:val="00C374A2"/>
    <w:rsid w:val="00C46ABD"/>
    <w:rsid w:val="00C51CEA"/>
    <w:rsid w:val="00C67DF9"/>
    <w:rsid w:val="00C911F5"/>
    <w:rsid w:val="00C96561"/>
    <w:rsid w:val="00CB421D"/>
    <w:rsid w:val="00CC091D"/>
    <w:rsid w:val="00CE1D0D"/>
    <w:rsid w:val="00CE3F42"/>
    <w:rsid w:val="00CE7A26"/>
    <w:rsid w:val="00CF2050"/>
    <w:rsid w:val="00CF5F67"/>
    <w:rsid w:val="00CF7A75"/>
    <w:rsid w:val="00D03399"/>
    <w:rsid w:val="00D07773"/>
    <w:rsid w:val="00D10B59"/>
    <w:rsid w:val="00D22DD5"/>
    <w:rsid w:val="00D53788"/>
    <w:rsid w:val="00D66B82"/>
    <w:rsid w:val="00D7079F"/>
    <w:rsid w:val="00D71104"/>
    <w:rsid w:val="00D800AB"/>
    <w:rsid w:val="00D827B7"/>
    <w:rsid w:val="00DA45B3"/>
    <w:rsid w:val="00DA5303"/>
    <w:rsid w:val="00DB18EA"/>
    <w:rsid w:val="00DD2E78"/>
    <w:rsid w:val="00DD6BF7"/>
    <w:rsid w:val="00DE3BBE"/>
    <w:rsid w:val="00DF5888"/>
    <w:rsid w:val="00E07961"/>
    <w:rsid w:val="00E20D9C"/>
    <w:rsid w:val="00E30B85"/>
    <w:rsid w:val="00E455EF"/>
    <w:rsid w:val="00E61869"/>
    <w:rsid w:val="00E65DA6"/>
    <w:rsid w:val="00E7013E"/>
    <w:rsid w:val="00E872AF"/>
    <w:rsid w:val="00E876AD"/>
    <w:rsid w:val="00E90902"/>
    <w:rsid w:val="00E973E2"/>
    <w:rsid w:val="00E977F9"/>
    <w:rsid w:val="00EA4466"/>
    <w:rsid w:val="00EB59B1"/>
    <w:rsid w:val="00EB721B"/>
    <w:rsid w:val="00EC0812"/>
    <w:rsid w:val="00EC2771"/>
    <w:rsid w:val="00ED43B1"/>
    <w:rsid w:val="00EE528B"/>
    <w:rsid w:val="00EF1F8D"/>
    <w:rsid w:val="00EF6175"/>
    <w:rsid w:val="00F0014B"/>
    <w:rsid w:val="00F13AC7"/>
    <w:rsid w:val="00F1511D"/>
    <w:rsid w:val="00F167F6"/>
    <w:rsid w:val="00F233BA"/>
    <w:rsid w:val="00F32F16"/>
    <w:rsid w:val="00F32F18"/>
    <w:rsid w:val="00F34D70"/>
    <w:rsid w:val="00F34E40"/>
    <w:rsid w:val="00F40D4A"/>
    <w:rsid w:val="00F56A8F"/>
    <w:rsid w:val="00F60CA8"/>
    <w:rsid w:val="00F702D6"/>
    <w:rsid w:val="00F73FDE"/>
    <w:rsid w:val="00F75D96"/>
    <w:rsid w:val="00F8082A"/>
    <w:rsid w:val="00F97023"/>
    <w:rsid w:val="00FA4F22"/>
    <w:rsid w:val="00FA61F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F4E41-F2FE-4E6F-B836-0BF38568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83BE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83BE9"/>
    <w:rPr>
      <w:sz w:val="20"/>
      <w:szCs w:val="20"/>
    </w:rPr>
  </w:style>
  <w:style w:type="character" w:styleId="Refdenotaalpie">
    <w:name w:val="footnote reference"/>
    <w:basedOn w:val="Fuentedeprrafopredeter"/>
    <w:uiPriority w:val="99"/>
    <w:semiHidden/>
    <w:unhideWhenUsed/>
    <w:rsid w:val="00083BE9"/>
    <w:rPr>
      <w:vertAlign w:val="superscript"/>
    </w:rPr>
  </w:style>
  <w:style w:type="paragraph" w:styleId="Prrafodelista">
    <w:name w:val="List Paragraph"/>
    <w:basedOn w:val="Normal"/>
    <w:uiPriority w:val="34"/>
    <w:qFormat/>
    <w:rsid w:val="00083BE9"/>
    <w:pPr>
      <w:ind w:left="720"/>
      <w:contextualSpacing/>
    </w:pPr>
  </w:style>
  <w:style w:type="paragraph" w:styleId="Encabezado">
    <w:name w:val="header"/>
    <w:basedOn w:val="Normal"/>
    <w:link w:val="EncabezadoCar"/>
    <w:uiPriority w:val="99"/>
    <w:unhideWhenUsed/>
    <w:rsid w:val="007A45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45C9"/>
  </w:style>
  <w:style w:type="paragraph" w:styleId="Piedepgina">
    <w:name w:val="footer"/>
    <w:basedOn w:val="Normal"/>
    <w:link w:val="PiedepginaCar"/>
    <w:uiPriority w:val="99"/>
    <w:unhideWhenUsed/>
    <w:rsid w:val="007A45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4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C0E46-F467-4180-9D5F-36438ABDD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3523</Words>
  <Characters>19378</Characters>
  <Application>Microsoft Office Word</Application>
  <DocSecurity>4</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Andres Levermann</dc:creator>
  <cp:keywords/>
  <dc:description/>
  <cp:lastModifiedBy>Usuario</cp:lastModifiedBy>
  <cp:revision>2</cp:revision>
  <dcterms:created xsi:type="dcterms:W3CDTF">2018-02-08T15:28:00Z</dcterms:created>
  <dcterms:modified xsi:type="dcterms:W3CDTF">2018-02-08T15:28:00Z</dcterms:modified>
</cp:coreProperties>
</file>